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76" w:rsidRPr="004B6670" w:rsidRDefault="008B4F76" w:rsidP="008B4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70">
        <w:rPr>
          <w:rFonts w:ascii="Times New Roman" w:hAnsi="Times New Roman" w:cs="Times New Roman"/>
          <w:sz w:val="24"/>
          <w:szCs w:val="24"/>
        </w:rPr>
        <w:t xml:space="preserve">7-07-0533-03 </w:t>
      </w:r>
      <w:r>
        <w:rPr>
          <w:rFonts w:ascii="Times New Roman" w:hAnsi="Times New Roman" w:cs="Times New Roman"/>
          <w:sz w:val="24"/>
          <w:szCs w:val="24"/>
        </w:rPr>
        <w:t>Ядерная и радиационная безопасность</w:t>
      </w:r>
      <w:r w:rsidRPr="004B667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B4F76" w:rsidRPr="004B6670" w:rsidRDefault="008B4F76" w:rsidP="008B4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670">
        <w:rPr>
          <w:rFonts w:ascii="Times New Roman" w:hAnsi="Times New Roman" w:cs="Times New Roman"/>
          <w:sz w:val="24"/>
          <w:szCs w:val="24"/>
        </w:rPr>
        <w:t xml:space="preserve">7-07-0533-03 </w:t>
      </w:r>
      <w:r w:rsidRPr="004B6670">
        <w:rPr>
          <w:rFonts w:ascii="Times New Roman" w:hAnsi="Times New Roman" w:cs="Times New Roman"/>
          <w:sz w:val="24"/>
          <w:szCs w:val="24"/>
          <w:lang w:val="en-US"/>
        </w:rPr>
        <w:t>Nuclear</w:t>
      </w:r>
      <w:r w:rsidRPr="004B6670">
        <w:rPr>
          <w:rFonts w:ascii="Times New Roman" w:hAnsi="Times New Roman" w:cs="Times New Roman"/>
          <w:sz w:val="24"/>
          <w:szCs w:val="24"/>
        </w:rPr>
        <w:t xml:space="preserve"> </w:t>
      </w:r>
      <w:r w:rsidRPr="004B667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B6670">
        <w:rPr>
          <w:rFonts w:ascii="Times New Roman" w:hAnsi="Times New Roman" w:cs="Times New Roman"/>
          <w:sz w:val="24"/>
          <w:szCs w:val="24"/>
        </w:rPr>
        <w:t xml:space="preserve"> </w:t>
      </w:r>
      <w:r w:rsidRPr="004B6670">
        <w:rPr>
          <w:rFonts w:ascii="Times New Roman" w:hAnsi="Times New Roman" w:cs="Times New Roman"/>
          <w:sz w:val="24"/>
          <w:szCs w:val="24"/>
          <w:lang w:val="en-US"/>
        </w:rPr>
        <w:t>radiation</w:t>
      </w:r>
      <w:r w:rsidRPr="004B6670">
        <w:rPr>
          <w:rFonts w:ascii="Times New Roman" w:hAnsi="Times New Roman" w:cs="Times New Roman"/>
          <w:sz w:val="24"/>
          <w:szCs w:val="24"/>
        </w:rPr>
        <w:t xml:space="preserve"> </w:t>
      </w:r>
      <w:r w:rsidRPr="004B667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Pr="004B6670">
        <w:rPr>
          <w:rFonts w:ascii="Times New Roman" w:hAnsi="Times New Roman" w:cs="Times New Roman"/>
          <w:sz w:val="24"/>
          <w:szCs w:val="24"/>
        </w:rPr>
        <w:t>:</w:t>
      </w:r>
    </w:p>
    <w:p w:rsidR="008B4F76" w:rsidRPr="008B4F76" w:rsidRDefault="008B4F76" w:rsidP="008B4F76">
      <w:pPr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Pr="008B4F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</w:t>
      </w:r>
      <w:r w:rsidRPr="008B4F7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Инженерная</w:t>
      </w:r>
      <w:r w:rsidRPr="008B4F76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8B4F7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8B4F76">
        <w:rPr>
          <w:rFonts w:ascii="Times New Roman" w:hAnsi="Times New Roman" w:cs="Times New Roman"/>
          <w:sz w:val="24"/>
          <w:szCs w:val="24"/>
          <w:lang w:val="en-US"/>
        </w:rPr>
        <w:t>Educational practice "Engineering"</w:t>
      </w:r>
      <w:bookmarkStart w:id="0" w:name="_GoBack"/>
      <w:bookmarkEnd w:id="0"/>
      <w:r w:rsidRPr="008B4F7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9"/>
        <w:gridCol w:w="4941"/>
        <w:gridCol w:w="4926"/>
      </w:tblGrid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Краткое содержание учебной дисциплины, модуля /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Brief</w:t>
            </w:r>
            <w:proofErr w:type="spellEnd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4941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Инженерная практика предназначена для формирования представления у студентов специальности 7-07-0533-03 «Ядерная и радиационная безопасность» предмета и задач проектирования и сопровождения процессов жизненного цикла на предприятиях ядерной отрасли.</w:t>
            </w:r>
          </w:p>
        </w:tc>
        <w:tc>
          <w:tcPr>
            <w:tcW w:w="4926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engineering practice is intended to develop an understanding among students of the specialty 7-07-0533-03 “Nuclear and Radiation Safety” of the subject and tasks of designing and supporting life cycle processes at nuclear industry enterprises.</w:t>
            </w: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Формируемые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компетенции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941" w:type="dxa"/>
          </w:tcPr>
          <w:p w:rsidR="00CD554F" w:rsidRPr="008B4F76" w:rsidRDefault="00CD554F" w:rsidP="00CD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При изучении учебной дисциплины обучающийся должен усвоить следующие компетенции:</w:t>
            </w:r>
          </w:p>
          <w:p w:rsidR="00A02A2D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методике расчетов, моделирования, разработки конструкторской и рабочей документации основных конструкционных элементов атомных электростанций на различных этапах ее жизненного цикла.</w:t>
            </w:r>
          </w:p>
        </w:tc>
        <w:tc>
          <w:tcPr>
            <w:tcW w:w="4926" w:type="dxa"/>
          </w:tcPr>
          <w:p w:rsidR="00A02A2D" w:rsidRPr="008B4F76" w:rsidRDefault="00364959" w:rsidP="00CD5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studying the academic discipline, the student must acquire the following competencies: Have an understanding of the methodology of calculations, modeling, </w:t>
            </w:r>
            <w:proofErr w:type="gramStart"/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  <w:proofErr w:type="gramEnd"/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design and working documentation of the main structural elements of nuclear power plants at various stages of its life cycle.</w:t>
            </w: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Результаты обучения (знать, уметь, владеть) /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Learning</w:t>
            </w:r>
            <w:proofErr w:type="spellEnd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outcomes</w:t>
            </w:r>
            <w:proofErr w:type="spellEnd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В результате усвоения дисциплины студент должен:</w:t>
            </w:r>
          </w:p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основные виды и категории определяемых напряжений;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методики расчета допустимых напряжений;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методики расчетов сейсмостойкости;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основные подходы к разработке конструкторской и рабочей документации;</w:t>
            </w:r>
          </w:p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определять вид </w:t>
            </w:r>
            <w:r w:rsidRPr="008B4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напряжений возникающих в конструктивных элементах;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применять по назначению методы расчета напряжений и сейсмостойкости;</w:t>
            </w:r>
          </w:p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методиками и численными методами моделирования при оценке конструктивных элементов на этапе проектирования;</w:t>
            </w:r>
          </w:p>
          <w:p w:rsidR="00A02A2D" w:rsidRPr="008B4F76" w:rsidRDefault="00364959" w:rsidP="0036495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разработки проектной документации. </w:t>
            </w:r>
          </w:p>
        </w:tc>
        <w:tc>
          <w:tcPr>
            <w:tcW w:w="4926" w:type="dxa"/>
          </w:tcPr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 a result of mastering the discipline, the student should:</w:t>
            </w:r>
          </w:p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know: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main types and categories of determined stresses;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for calculating permissible stresses;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for calculating seismic resistance;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main approaches to the development of design and working documentation;</w:t>
            </w:r>
          </w:p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able to: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correctly determine the type of stresses </w:t>
            </w: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arising in structural elements;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 methods for calculating stresses and seismic resistance as intended;</w:t>
            </w:r>
          </w:p>
          <w:p w:rsidR="00364959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proficient in:</w:t>
            </w:r>
          </w:p>
          <w:p w:rsidR="00364959" w:rsidRPr="008B4F76" w:rsidRDefault="00364959" w:rsidP="0036495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and numerical methods of modeling when assessing structural elements at the design stage;</w:t>
            </w:r>
          </w:p>
          <w:p w:rsidR="00A02A2D" w:rsidRPr="008B4F76" w:rsidRDefault="00364959" w:rsidP="00364959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proofErr w:type="gramEnd"/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developing design documentation.</w:t>
            </w: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Семестр изучения учебной дисциплины /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Semester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6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Пререквизиты</w:t>
            </w:r>
            <w:proofErr w:type="spellEnd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Prerequisites</w:t>
            </w:r>
            <w:proofErr w:type="spellEnd"/>
          </w:p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41" w:type="dxa"/>
          </w:tcPr>
          <w:p w:rsidR="00D45983" w:rsidRPr="008B4F76" w:rsidRDefault="00D45983" w:rsidP="00D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  <w:p w:rsidR="00D45983" w:rsidRPr="008B4F76" w:rsidRDefault="00D45983" w:rsidP="00D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</w:t>
            </w:r>
          </w:p>
          <w:p w:rsidR="00A02A2D" w:rsidRPr="008B4F76" w:rsidRDefault="00B61AC5" w:rsidP="00D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Дифференциальные и интегральные уравнения</w:t>
            </w:r>
          </w:p>
        </w:tc>
        <w:tc>
          <w:tcPr>
            <w:tcW w:w="4926" w:type="dxa"/>
          </w:tcPr>
          <w:p w:rsidR="009B2084" w:rsidRPr="008B4F76" w:rsidRDefault="009B2084" w:rsidP="009B2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</w:t>
            </w:r>
          </w:p>
          <w:p w:rsidR="009B2084" w:rsidRPr="008B4F76" w:rsidRDefault="009B2084" w:rsidP="009B2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Analysis</w:t>
            </w:r>
          </w:p>
          <w:p w:rsidR="00A02A2D" w:rsidRPr="008B4F76" w:rsidRDefault="00B61AC5" w:rsidP="009B2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Differential and integral equations</w:t>
            </w: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Трудоемкость в зачетных единицах (кредитах) /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4941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6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аудиторных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часов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часов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самостоятельной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работы</w:t>
            </w:r>
            <w:r w:rsidRPr="008B4F7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4941" w:type="dxa"/>
          </w:tcPr>
          <w:p w:rsidR="00A02A2D" w:rsidRPr="008B4F76" w:rsidRDefault="00A02A2D" w:rsidP="00D00D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:rsidR="00A02A2D" w:rsidRPr="008B4F76" w:rsidRDefault="00A02A2D" w:rsidP="00CD5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4F76" w:rsidRPr="008B4F76" w:rsidTr="008B4F76">
        <w:tc>
          <w:tcPr>
            <w:tcW w:w="4919" w:type="dxa"/>
          </w:tcPr>
          <w:p w:rsidR="00A02A2D" w:rsidRPr="008B4F76" w:rsidRDefault="00A02A2D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A02A2D" w:rsidRPr="008B4F76" w:rsidRDefault="00A02A2D" w:rsidP="00D00D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941" w:type="dxa"/>
          </w:tcPr>
          <w:p w:rsidR="00A02A2D" w:rsidRPr="008B4F76" w:rsidRDefault="00364959" w:rsidP="0036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926" w:type="dxa"/>
          </w:tcPr>
          <w:p w:rsidR="00A02A2D" w:rsidRPr="008B4F76" w:rsidRDefault="00364959" w:rsidP="00D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</w:tr>
    </w:tbl>
    <w:p w:rsidR="0054436A" w:rsidRDefault="0054436A"/>
    <w:sectPr w:rsidR="0054436A" w:rsidSect="008B4F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4B7"/>
    <w:multiLevelType w:val="hybridMultilevel"/>
    <w:tmpl w:val="C07E4444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1FD4"/>
    <w:multiLevelType w:val="hybridMultilevel"/>
    <w:tmpl w:val="875680C0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1BCB"/>
    <w:multiLevelType w:val="hybridMultilevel"/>
    <w:tmpl w:val="C4684FB0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C196A"/>
    <w:multiLevelType w:val="hybridMultilevel"/>
    <w:tmpl w:val="689491C2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E28D6"/>
    <w:multiLevelType w:val="hybridMultilevel"/>
    <w:tmpl w:val="CA7A4996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9399D"/>
    <w:multiLevelType w:val="hybridMultilevel"/>
    <w:tmpl w:val="FB7EC3F4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E255E"/>
    <w:multiLevelType w:val="hybridMultilevel"/>
    <w:tmpl w:val="A70267AC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D2AC0"/>
    <w:multiLevelType w:val="hybridMultilevel"/>
    <w:tmpl w:val="AAF039EC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4AF1"/>
    <w:multiLevelType w:val="hybridMultilevel"/>
    <w:tmpl w:val="AC8CF936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B1B11"/>
    <w:multiLevelType w:val="hybridMultilevel"/>
    <w:tmpl w:val="1BD4F124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315AC"/>
    <w:multiLevelType w:val="hybridMultilevel"/>
    <w:tmpl w:val="52702226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0703F"/>
    <w:multiLevelType w:val="hybridMultilevel"/>
    <w:tmpl w:val="03E27234"/>
    <w:lvl w:ilvl="0" w:tplc="699E7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2D"/>
    <w:rsid w:val="00086C8E"/>
    <w:rsid w:val="00364959"/>
    <w:rsid w:val="0054436A"/>
    <w:rsid w:val="008B4F76"/>
    <w:rsid w:val="009B2084"/>
    <w:rsid w:val="00A02A2D"/>
    <w:rsid w:val="00B61AC5"/>
    <w:rsid w:val="00CD554F"/>
    <w:rsid w:val="00D45983"/>
    <w:rsid w:val="00E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2A2D"/>
    <w:rPr>
      <w:b/>
      <w:bCs/>
    </w:rPr>
  </w:style>
  <w:style w:type="paragraph" w:styleId="a5">
    <w:name w:val="List Paragraph"/>
    <w:basedOn w:val="a"/>
    <w:uiPriority w:val="34"/>
    <w:qFormat/>
    <w:rsid w:val="00A02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2A2D"/>
    <w:rPr>
      <w:b/>
      <w:bCs/>
    </w:rPr>
  </w:style>
  <w:style w:type="paragraph" w:styleId="a5">
    <w:name w:val="List Paragraph"/>
    <w:basedOn w:val="a"/>
    <w:uiPriority w:val="34"/>
    <w:qFormat/>
    <w:rsid w:val="00A0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Гусакова</dc:creator>
  <cp:lastModifiedBy>Ольга Гусакова</cp:lastModifiedBy>
  <cp:revision>2</cp:revision>
  <dcterms:created xsi:type="dcterms:W3CDTF">2025-09-18T14:19:00Z</dcterms:created>
  <dcterms:modified xsi:type="dcterms:W3CDTF">2025-09-18T14:19:00Z</dcterms:modified>
</cp:coreProperties>
</file>