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FF" w:rsidRDefault="00B718FF" w:rsidP="00B718FF">
      <w:pPr>
        <w:pStyle w:val="1"/>
        <w:shd w:val="clear" w:color="auto" w:fill="FAFAF9"/>
        <w:spacing w:before="60" w:after="12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7-07-0533-03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Ядерная и радиационная безопасность / </w:t>
      </w:r>
      <w:r w:rsidRPr="00ED4D25">
        <w:rPr>
          <w:rFonts w:ascii="Times New Roman" w:hAnsi="Times New Roman" w:cs="Times New Roman"/>
          <w:sz w:val="24"/>
          <w:szCs w:val="24"/>
        </w:rPr>
        <w:t>7-07-0533-03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NuclearandRadiationSafety</w:t>
      </w:r>
      <w:proofErr w:type="spellEnd"/>
    </w:p>
    <w:p w:rsidR="00781968" w:rsidRPr="009A613D" w:rsidRDefault="00781968" w:rsidP="00781968">
      <w:pPr>
        <w:shd w:val="clear" w:color="auto" w:fill="FAFAF9"/>
        <w:spacing w:before="6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4D3B">
        <w:rPr>
          <w:rFonts w:ascii="Times New Roman" w:eastAsia="Times New Roman" w:hAnsi="Times New Roman" w:cs="Times New Roman"/>
          <w:sz w:val="24"/>
          <w:szCs w:val="24"/>
        </w:rPr>
        <w:t>Аналитическая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геометрия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линейная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алгебра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Высшая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/>
        </w:rPr>
        <w:t>-1» / Analytical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/>
        </w:rPr>
        <w:t>Geometry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/>
        </w:rPr>
        <w:t>Linear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/>
        </w:rPr>
        <w:t>Algebra, module "HigherMathematics-1"</w:t>
      </w:r>
    </w:p>
    <w:p w:rsidR="00B718FF" w:rsidRPr="00B718FF" w:rsidRDefault="00B718FF" w:rsidP="00B718FF">
      <w:pPr>
        <w:pStyle w:val="1"/>
        <w:shd w:val="clear" w:color="auto" w:fill="FAFAF9"/>
        <w:spacing w:before="60" w:after="120"/>
        <w:ind w:left="360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819"/>
        <w:gridCol w:w="4253"/>
      </w:tblGrid>
      <w:tr w:rsidR="00B718FF" w:rsidRPr="004F6AD6" w:rsidTr="005D0F3D">
        <w:trPr>
          <w:trHeight w:val="787"/>
        </w:trPr>
        <w:tc>
          <w:tcPr>
            <w:tcW w:w="5637" w:type="dxa"/>
          </w:tcPr>
          <w:p w:rsidR="00B718FF" w:rsidRPr="0091469C" w:rsidRDefault="00B718FF" w:rsidP="005D0F3D">
            <w:pPr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Краткое содержание учебной дисциплины, модуля /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Brief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</w:rPr>
              <w:t>summary</w:t>
            </w:r>
            <w:proofErr w:type="spellEnd"/>
          </w:p>
        </w:tc>
        <w:tc>
          <w:tcPr>
            <w:tcW w:w="4819" w:type="dxa"/>
          </w:tcPr>
          <w:p w:rsidR="00B718FF" w:rsidRPr="000F371E" w:rsidRDefault="00B718FF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AFAF9"/>
              </w:rPr>
              <w:t>Вносится описание на русском языке</w:t>
            </w:r>
          </w:p>
        </w:tc>
        <w:tc>
          <w:tcPr>
            <w:tcW w:w="4253" w:type="dxa"/>
          </w:tcPr>
          <w:p w:rsidR="00B718FF" w:rsidRPr="000F371E" w:rsidRDefault="00B718FF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AFAF9"/>
              </w:rPr>
              <w:t>Вносится описание на английском языке</w:t>
            </w:r>
          </w:p>
        </w:tc>
      </w:tr>
      <w:tr w:rsidR="00B718FF" w:rsidRPr="0029479D" w:rsidTr="005D0F3D">
        <w:tc>
          <w:tcPr>
            <w:tcW w:w="5637" w:type="dxa"/>
          </w:tcPr>
          <w:p w:rsidR="00B718FF" w:rsidRPr="0091469C" w:rsidRDefault="00B718FF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Формируемые</w:t>
            </w:r>
            <w:r w:rsidRPr="00B46274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компетенции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/ The formed competences</w:t>
            </w:r>
          </w:p>
        </w:tc>
        <w:tc>
          <w:tcPr>
            <w:tcW w:w="4819" w:type="dxa"/>
          </w:tcPr>
          <w:p w:rsidR="00B718FF" w:rsidRPr="00B718FF" w:rsidRDefault="00B718FF" w:rsidP="00B718F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>БПК-1. Применять методы дифференциального и интегрального исчислений, матричного исчисления, аппарат теории степенных и функциональных рядов, анализировать решения систем линейных алгебраических уравнений, исследовать уравнения кривых и поверхностей аналитическими методами при решении прикладных задач.</w:t>
            </w:r>
          </w:p>
          <w:p w:rsidR="00B718FF" w:rsidRPr="00B718FF" w:rsidRDefault="00B718FF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18FF" w:rsidRPr="00844AC1" w:rsidRDefault="00B718FF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PK-1. Apply methods of differential and integral calculus, matrix calculus, the apparatus of the theory of power and functional </w:t>
            </w:r>
            <w:proofErr w:type="gramStart"/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series,</w:t>
            </w:r>
            <w:proofErr w:type="gramEnd"/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analyze solutions to systems of linear algebraic equations, study equations of curves and surfaces using analytical methods when solving applied problems.</w:t>
            </w:r>
          </w:p>
        </w:tc>
      </w:tr>
      <w:tr w:rsidR="00B718FF" w:rsidRPr="0029479D" w:rsidTr="005D0F3D">
        <w:tc>
          <w:tcPr>
            <w:tcW w:w="5637" w:type="dxa"/>
          </w:tcPr>
          <w:p w:rsidR="00B718FF" w:rsidRPr="00CA3AE2" w:rsidRDefault="00B718FF" w:rsidP="005D0F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Результаты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обучения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знать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уметь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владеть</w:t>
            </w:r>
            <w:r w:rsidRPr="00E939E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) / Learning out comes (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know, can, be able)</w:t>
            </w:r>
          </w:p>
          <w:p w:rsidR="00B718FF" w:rsidRPr="00E939EC" w:rsidRDefault="00B718FF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B718FF" w:rsidRPr="00B718FF" w:rsidRDefault="00B718FF" w:rsidP="00B718FF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18FF" w:rsidRPr="00B718FF" w:rsidRDefault="00B718FF" w:rsidP="00B718FF">
            <w:pPr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>– основные геометрические понятия, различные системы координат;</w:t>
            </w:r>
          </w:p>
          <w:p w:rsidR="00B718FF" w:rsidRPr="00B718FF" w:rsidRDefault="00B718FF" w:rsidP="00B718FF">
            <w:pPr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>– линии и поверхности второго порядка;</w:t>
            </w:r>
          </w:p>
          <w:p w:rsidR="00B718FF" w:rsidRPr="00B718FF" w:rsidRDefault="00B718FF" w:rsidP="00B718FF">
            <w:pPr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>– свойства матриц и определителей;</w:t>
            </w:r>
          </w:p>
          <w:p w:rsidR="00B718FF" w:rsidRPr="00B718FF" w:rsidRDefault="00B718FF" w:rsidP="00B718FF">
            <w:pPr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>– билинейные и квадратичные формы;</w:t>
            </w:r>
          </w:p>
          <w:p w:rsidR="00B718FF" w:rsidRPr="00B718FF" w:rsidRDefault="00B718FF" w:rsidP="00B718FF">
            <w:pPr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>– евклидовы и линейные пространства;</w:t>
            </w:r>
          </w:p>
          <w:p w:rsidR="00B718FF" w:rsidRPr="00B718FF" w:rsidRDefault="00B718FF" w:rsidP="00B718FF">
            <w:pPr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>– линейные операторы и их матрицы;</w:t>
            </w:r>
          </w:p>
          <w:p w:rsidR="00B718FF" w:rsidRPr="00B718FF" w:rsidRDefault="00B718FF" w:rsidP="00B718FF">
            <w:pPr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>– геометрические объекты-тензоры в линейном пространстве;</w:t>
            </w:r>
          </w:p>
          <w:p w:rsidR="00B718FF" w:rsidRPr="00B718FF" w:rsidRDefault="00B718FF" w:rsidP="00B718FF">
            <w:pPr>
              <w:ind w:left="900" w:right="-1" w:hanging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B718FF" w:rsidRPr="00B718FF" w:rsidRDefault="00B718FF" w:rsidP="00B718FF">
            <w:pPr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 xml:space="preserve">– выполнять действия над векторами и матрицами; </w:t>
            </w:r>
          </w:p>
          <w:p w:rsidR="00B718FF" w:rsidRPr="00B718FF" w:rsidRDefault="00B718FF" w:rsidP="00B718FF">
            <w:pPr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 xml:space="preserve">– записывать основные уравнения </w:t>
            </w:r>
            <w:r w:rsidRPr="00B71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прямых, кривых и поверхностей второго порядка;</w:t>
            </w:r>
          </w:p>
          <w:p w:rsidR="00B718FF" w:rsidRPr="00B718FF" w:rsidRDefault="00B718FF" w:rsidP="00B718FF">
            <w:pPr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>– решать системы линейных уравнений различными способами;</w:t>
            </w:r>
          </w:p>
          <w:p w:rsidR="00B718FF" w:rsidRPr="00B718FF" w:rsidRDefault="00B718FF" w:rsidP="00B718FF">
            <w:pPr>
              <w:ind w:left="900" w:right="-1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>– приводить матрицу линейного преобразования к диагональному виду;</w:t>
            </w:r>
          </w:p>
          <w:p w:rsidR="00B718FF" w:rsidRPr="00B718FF" w:rsidRDefault="00B718FF" w:rsidP="00B718FF">
            <w:pPr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 xml:space="preserve">– приводить уравнения кривых и поверхностей второго порядка к каноническому виду; </w:t>
            </w:r>
          </w:p>
          <w:p w:rsidR="00B718FF" w:rsidRPr="00B718FF" w:rsidRDefault="00B718FF" w:rsidP="00B718F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>– записывать закон преобразования тензоров;</w:t>
            </w:r>
          </w:p>
          <w:p w:rsidR="00B718FF" w:rsidRPr="00B718FF" w:rsidRDefault="00B718FF" w:rsidP="00B718FF">
            <w:pPr>
              <w:ind w:left="900" w:right="-1" w:hanging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B718FF" w:rsidRPr="00B718FF" w:rsidRDefault="00B718FF" w:rsidP="00B718FF">
            <w:pPr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>– методами решения систем линейных уравнений;</w:t>
            </w:r>
          </w:p>
          <w:p w:rsidR="00B718FF" w:rsidRPr="00B718FF" w:rsidRDefault="00B718FF" w:rsidP="00B718FF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</w:rPr>
              <w:t>– математическими методами в формализации прикладных задач.</w:t>
            </w:r>
          </w:p>
          <w:p w:rsidR="00B718FF" w:rsidRPr="00B718FF" w:rsidRDefault="00B718FF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know: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– </w:t>
            </w: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geometric concepts, various coordinate systems;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lines and surfaces of the second order;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properties of matrices and determinants;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bilinear and quadratic forms;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Euclidean and linear spaces;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linear operators and their matrices;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– geometric objects-tensors in linear space;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 able to: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– </w:t>
            </w: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 operations on vectors and matrices;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write down the basic equations of lines, curves and surfaces of the second order;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solve systems of linear equations in various ways;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reduce the matrix of a linear transformation to a diagonal form;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reduce the equations of curves and surfaces of the second order to a canonical form;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write down the law of transformation of tensors;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 proficient in:</w:t>
            </w:r>
          </w:p>
          <w:p w:rsidR="00B718FF" w:rsidRPr="00B718FF" w:rsidRDefault="00B718FF" w:rsidP="00B718FF">
            <w:pPr>
              <w:pStyle w:val="1"/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methods for solving systems of linear equations;</w:t>
            </w:r>
          </w:p>
          <w:p w:rsidR="00B718FF" w:rsidRPr="00844AC1" w:rsidRDefault="00B718FF" w:rsidP="00B71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gramStart"/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</w:t>
            </w:r>
            <w:proofErr w:type="gramEnd"/>
            <w:r w:rsidRPr="00B71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methods in the formalization of applied problems.</w:t>
            </w:r>
          </w:p>
        </w:tc>
      </w:tr>
      <w:tr w:rsidR="00B718FF" w:rsidRPr="004F6AD6" w:rsidTr="005D0F3D">
        <w:tc>
          <w:tcPr>
            <w:tcW w:w="5637" w:type="dxa"/>
          </w:tcPr>
          <w:p w:rsidR="00B718FF" w:rsidRPr="00CA3AE2" w:rsidRDefault="00B718FF" w:rsidP="005D0F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lastRenderedPageBreak/>
              <w:t>Семестр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изучения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учебной дисциплины</w:t>
            </w:r>
            <w:r w:rsidRPr="00CA3AE2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/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Semester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of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study</w:t>
            </w:r>
          </w:p>
          <w:p w:rsidR="00B718FF" w:rsidRPr="00CA3AE2" w:rsidRDefault="00B718FF" w:rsidP="005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B718FF" w:rsidRPr="00844AC1" w:rsidRDefault="00B718FF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1,2</w:t>
            </w:r>
          </w:p>
        </w:tc>
        <w:tc>
          <w:tcPr>
            <w:tcW w:w="4253" w:type="dxa"/>
          </w:tcPr>
          <w:p w:rsidR="00B718FF" w:rsidRPr="00844AC1" w:rsidRDefault="00B718FF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1,2</w:t>
            </w:r>
          </w:p>
        </w:tc>
      </w:tr>
      <w:tr w:rsidR="00B718FF" w:rsidRPr="000F7622" w:rsidTr="005D0F3D">
        <w:tc>
          <w:tcPr>
            <w:tcW w:w="5637" w:type="dxa"/>
          </w:tcPr>
          <w:p w:rsidR="00B718FF" w:rsidRDefault="00B718FF" w:rsidP="005D0F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</w:pP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Пререквизиты</w:t>
            </w:r>
            <w:proofErr w:type="spellEnd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Prerequisites</w:t>
            </w:r>
            <w:proofErr w:type="spellEnd"/>
          </w:p>
          <w:p w:rsidR="00B718FF" w:rsidRPr="0091469C" w:rsidRDefault="00B718FF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B718FF" w:rsidRPr="00844AC1" w:rsidRDefault="00B718FF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253" w:type="dxa"/>
          </w:tcPr>
          <w:p w:rsidR="00B718FF" w:rsidRPr="00844AC1" w:rsidRDefault="00B718FF" w:rsidP="005D0F3D">
            <w:pPr>
              <w:pStyle w:val="a5"/>
              <w:spacing w:before="0" w:beforeAutospacing="0" w:after="0" w:afterAutospacing="0"/>
            </w:pPr>
            <w:proofErr w:type="spellStart"/>
            <w:r w:rsidRPr="00844AC1">
              <w:rPr>
                <w:color w:val="000000"/>
              </w:rPr>
              <w:t>No</w:t>
            </w:r>
            <w:proofErr w:type="spellEnd"/>
          </w:p>
          <w:p w:rsidR="00B718FF" w:rsidRPr="00844AC1" w:rsidRDefault="00B718FF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718FF" w:rsidRPr="0091469C" w:rsidTr="005D0F3D">
        <w:tc>
          <w:tcPr>
            <w:tcW w:w="5637" w:type="dxa"/>
          </w:tcPr>
          <w:p w:rsidR="00B718FF" w:rsidRPr="0091469C" w:rsidRDefault="00B718FF" w:rsidP="005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lastRenderedPageBreak/>
              <w:t>Трудоемкость в зачетных единицах</w:t>
            </w:r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(кредитах)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Credit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units</w:t>
            </w:r>
            <w:proofErr w:type="spellEnd"/>
          </w:p>
        </w:tc>
        <w:tc>
          <w:tcPr>
            <w:tcW w:w="4819" w:type="dxa"/>
          </w:tcPr>
          <w:p w:rsidR="00B718FF" w:rsidRPr="00844AC1" w:rsidRDefault="00B718FF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B718FF" w:rsidRPr="00844AC1" w:rsidRDefault="00B718FF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18FF" w:rsidRPr="00B46274" w:rsidTr="005D0F3D">
        <w:tc>
          <w:tcPr>
            <w:tcW w:w="5637" w:type="dxa"/>
          </w:tcPr>
          <w:p w:rsidR="00B718FF" w:rsidRPr="0091469C" w:rsidRDefault="00B718FF" w:rsidP="005D0F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Количество</w:t>
            </w:r>
            <w:r w:rsidRPr="00241F69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аудиторных</w:t>
            </w:r>
            <w:r w:rsidRPr="00241F69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часов</w:t>
            </w:r>
            <w:r w:rsidRPr="00241F69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и</w:t>
            </w:r>
            <w:r w:rsidRPr="00241F69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часов</w:t>
            </w:r>
            <w:r w:rsidRPr="00150EB8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самостоятельной</w:t>
            </w:r>
            <w:r w:rsidRPr="00150EB8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работы</w:t>
            </w:r>
            <w:r w:rsidRPr="0091469C">
              <w:rPr>
                <w:rStyle w:val="a4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/ Academic hour of students class work, hours of self-directed learning</w:t>
            </w:r>
          </w:p>
        </w:tc>
        <w:tc>
          <w:tcPr>
            <w:tcW w:w="4819" w:type="dxa"/>
          </w:tcPr>
          <w:p w:rsidR="00B718FF" w:rsidRPr="00844AC1" w:rsidRDefault="00B718FF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216/1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3" w:type="dxa"/>
          </w:tcPr>
          <w:p w:rsidR="00B718FF" w:rsidRPr="00844AC1" w:rsidRDefault="00B718FF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216/1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B718FF" w:rsidRPr="0091469C" w:rsidTr="005D0F3D">
        <w:tc>
          <w:tcPr>
            <w:tcW w:w="5637" w:type="dxa"/>
          </w:tcPr>
          <w:p w:rsidR="00B718FF" w:rsidRPr="0091469C" w:rsidRDefault="00B718FF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69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 формы текущей и промежуточной аттестации / </w:t>
            </w:r>
          </w:p>
          <w:p w:rsidR="00B718FF" w:rsidRPr="0091469C" w:rsidRDefault="00B718FF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 and forms of current and interim certification</w:t>
            </w:r>
          </w:p>
        </w:tc>
        <w:tc>
          <w:tcPr>
            <w:tcW w:w="4819" w:type="dxa"/>
          </w:tcPr>
          <w:p w:rsidR="00B718FF" w:rsidRPr="00844AC1" w:rsidRDefault="00B718FF" w:rsidP="005D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</w:rPr>
              <w:t>ЗАЧЕТ, ЭКЗАМЕН</w:t>
            </w:r>
          </w:p>
        </w:tc>
        <w:tc>
          <w:tcPr>
            <w:tcW w:w="4253" w:type="dxa"/>
          </w:tcPr>
          <w:p w:rsidR="00B718FF" w:rsidRPr="00844AC1" w:rsidRDefault="00B718FF" w:rsidP="005D0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TEST, EXAM</w:t>
            </w:r>
          </w:p>
        </w:tc>
      </w:tr>
    </w:tbl>
    <w:p w:rsidR="00B718FF" w:rsidRPr="0091469C" w:rsidRDefault="00B718FF" w:rsidP="00B718FF">
      <w:pPr>
        <w:rPr>
          <w:lang w:val="en-US"/>
        </w:rPr>
      </w:pPr>
    </w:p>
    <w:p w:rsidR="006F30DB" w:rsidRDefault="006F30DB"/>
    <w:sectPr w:rsidR="006F30DB" w:rsidSect="00B718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4118A"/>
    <w:multiLevelType w:val="multilevel"/>
    <w:tmpl w:val="FEE0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FF"/>
    <w:rsid w:val="0029479D"/>
    <w:rsid w:val="006F30DB"/>
    <w:rsid w:val="00781968"/>
    <w:rsid w:val="007A54FE"/>
    <w:rsid w:val="00AE1CB7"/>
    <w:rsid w:val="00B718FF"/>
    <w:rsid w:val="00D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A68AC-F7F3-45CA-9D1C-2EC90B38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8F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718FF"/>
    <w:pPr>
      <w:spacing w:after="0"/>
    </w:pPr>
    <w:rPr>
      <w:rFonts w:ascii="Arial" w:eastAsia="Arial" w:hAnsi="Arial" w:cs="Arial"/>
      <w:lang w:eastAsia="ru-RU"/>
    </w:rPr>
  </w:style>
  <w:style w:type="table" w:styleId="a3">
    <w:name w:val="Table Grid"/>
    <w:basedOn w:val="a1"/>
    <w:uiPriority w:val="59"/>
    <w:rsid w:val="00B71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718FF"/>
    <w:rPr>
      <w:b/>
      <w:bCs/>
    </w:rPr>
  </w:style>
  <w:style w:type="paragraph" w:styleId="a5">
    <w:name w:val="Normal (Web)"/>
    <w:basedOn w:val="a"/>
    <w:uiPriority w:val="99"/>
    <w:semiHidden/>
    <w:unhideWhenUsed/>
    <w:rsid w:val="00B7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2025-09-19T08:04:00Z</dcterms:created>
  <dcterms:modified xsi:type="dcterms:W3CDTF">2025-09-19T08:04:00Z</dcterms:modified>
</cp:coreProperties>
</file>