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02" w:rsidRDefault="00D8146E">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6-05-0533-03 (1-31 04 05) Медицинская физика </w:t>
      </w:r>
      <w:proofErr w:type="gramStart"/>
      <w:r>
        <w:rPr>
          <w:rFonts w:ascii="Times New Roman" w:eastAsia="Times New Roman" w:hAnsi="Times New Roman" w:cs="Times New Roman"/>
          <w:sz w:val="24"/>
          <w:szCs w:val="24"/>
        </w:rPr>
        <w:t>/  6</w:t>
      </w:r>
      <w:proofErr w:type="gramEnd"/>
      <w:r>
        <w:rPr>
          <w:rFonts w:ascii="Times New Roman" w:eastAsia="Times New Roman" w:hAnsi="Times New Roman" w:cs="Times New Roman"/>
          <w:sz w:val="24"/>
          <w:szCs w:val="24"/>
        </w:rPr>
        <w:t xml:space="preserve">-05-0533-03 (1-31 04 05)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Physics</w:t>
      </w:r>
      <w:proofErr w:type="spellEnd"/>
    </w:p>
    <w:p w:rsidR="00193702" w:rsidRDefault="00D8146E" w:rsidP="00EC62D1">
      <w:pPr>
        <w:spacing w:after="20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Радионуклидная</w:t>
      </w:r>
      <w:proofErr w:type="spellEnd"/>
      <w:r>
        <w:rPr>
          <w:rFonts w:ascii="Times New Roman" w:eastAsia="Times New Roman" w:hAnsi="Times New Roman" w:cs="Times New Roman"/>
          <w:sz w:val="24"/>
          <w:szCs w:val="24"/>
        </w:rPr>
        <w:t xml:space="preserve"> диагностика и терапия, модуль «Ядерная медицина» / </w:t>
      </w:r>
      <w:proofErr w:type="spellStart"/>
      <w:r>
        <w:rPr>
          <w:rFonts w:ascii="Times New Roman" w:eastAsia="Times New Roman" w:hAnsi="Times New Roman" w:cs="Times New Roman"/>
          <w:sz w:val="24"/>
          <w:szCs w:val="24"/>
        </w:rPr>
        <w:t>Radionuclide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module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Nuclear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Medicine</w:t>
      </w:r>
      <w:proofErr w:type="spellEnd"/>
      <w:r>
        <w:rPr>
          <w:rFonts w:ascii="Times New Roman" w:eastAsia="Times New Roman" w:hAnsi="Times New Roman" w:cs="Times New Roman"/>
          <w:sz w:val="24"/>
          <w:szCs w:val="24"/>
        </w:rPr>
        <w:t>"</w:t>
      </w:r>
    </w:p>
    <w:tbl>
      <w:tblPr>
        <w:tblStyle w:val="a5"/>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2"/>
        <w:gridCol w:w="5042"/>
        <w:gridCol w:w="5042"/>
      </w:tblGrid>
      <w:tr w:rsidR="00193702" w:rsidRPr="00EC62D1">
        <w:tc>
          <w:tcPr>
            <w:tcW w:w="5042" w:type="dxa"/>
          </w:tcPr>
          <w:p w:rsidR="00193702" w:rsidRDefault="00D8146E">
            <w:pPr>
              <w:rPr>
                <w:rFonts w:ascii="Times New Roman" w:eastAsia="Times New Roman" w:hAnsi="Times New Roman" w:cs="Times New Roman"/>
                <w:b/>
                <w:color w:val="404040"/>
                <w:sz w:val="24"/>
                <w:szCs w:val="24"/>
              </w:rPr>
            </w:pPr>
            <w:r>
              <w:rPr>
                <w:rFonts w:ascii="Times New Roman" w:eastAsia="Times New Roman" w:hAnsi="Times New Roman" w:cs="Times New Roman"/>
                <w:color w:val="404040"/>
                <w:sz w:val="24"/>
                <w:szCs w:val="24"/>
              </w:rPr>
              <w:t xml:space="preserve">Краткое содержание учебной дисциплины, модуля / </w:t>
            </w:r>
            <w:proofErr w:type="spellStart"/>
            <w:r>
              <w:rPr>
                <w:rFonts w:ascii="Times New Roman" w:eastAsia="Times New Roman" w:hAnsi="Times New Roman" w:cs="Times New Roman"/>
                <w:color w:val="404040"/>
                <w:sz w:val="24"/>
                <w:szCs w:val="24"/>
              </w:rPr>
              <w:t>Brief</w:t>
            </w:r>
            <w:proofErr w:type="spellEnd"/>
            <w:r>
              <w:rPr>
                <w:rFonts w:ascii="Times New Roman" w:eastAsia="Times New Roman" w:hAnsi="Times New Roman" w:cs="Times New Roman"/>
                <w:color w:val="404040"/>
                <w:sz w:val="24"/>
                <w:szCs w:val="24"/>
              </w:rPr>
              <w:t xml:space="preserve"> </w:t>
            </w:r>
            <w:proofErr w:type="spellStart"/>
            <w:r>
              <w:rPr>
                <w:rFonts w:ascii="Times New Roman" w:eastAsia="Times New Roman" w:hAnsi="Times New Roman" w:cs="Times New Roman"/>
                <w:color w:val="404040"/>
                <w:sz w:val="24"/>
                <w:szCs w:val="24"/>
              </w:rPr>
              <w:t>summary</w:t>
            </w:r>
            <w:proofErr w:type="spellEnd"/>
          </w:p>
        </w:tc>
        <w:tc>
          <w:tcPr>
            <w:tcW w:w="5042" w:type="dxa"/>
          </w:tcPr>
          <w:p w:rsidR="00193702" w:rsidRDefault="00D8146E">
            <w:pPr>
              <w:ind w:firstLine="700"/>
              <w:jc w:val="both"/>
              <w:rPr>
                <w:rFonts w:ascii="Calibri" w:eastAsia="Calibri" w:hAnsi="Calibri" w:cs="Calibri"/>
              </w:rPr>
            </w:pPr>
            <w:r>
              <w:rPr>
                <w:rFonts w:ascii="Times New Roman" w:eastAsia="Times New Roman" w:hAnsi="Times New Roman" w:cs="Times New Roman"/>
                <w:sz w:val="24"/>
                <w:szCs w:val="24"/>
              </w:rPr>
              <w:t>Дисциплина «</w:t>
            </w:r>
            <w:proofErr w:type="spellStart"/>
            <w:r>
              <w:rPr>
                <w:rFonts w:ascii="Times New Roman" w:eastAsia="Times New Roman" w:hAnsi="Times New Roman" w:cs="Times New Roman"/>
                <w:sz w:val="24"/>
                <w:szCs w:val="24"/>
              </w:rPr>
              <w:t>Радионуклидная</w:t>
            </w:r>
            <w:proofErr w:type="spellEnd"/>
            <w:r>
              <w:rPr>
                <w:rFonts w:ascii="Times New Roman" w:eastAsia="Times New Roman" w:hAnsi="Times New Roman" w:cs="Times New Roman"/>
                <w:sz w:val="24"/>
                <w:szCs w:val="24"/>
              </w:rPr>
              <w:t xml:space="preserve"> диагностика и терапия» включает информацию о применении </w:t>
            </w:r>
            <w:proofErr w:type="spellStart"/>
            <w:r>
              <w:rPr>
                <w:rFonts w:ascii="Times New Roman" w:eastAsia="Times New Roman" w:hAnsi="Times New Roman" w:cs="Times New Roman"/>
                <w:sz w:val="24"/>
                <w:szCs w:val="24"/>
              </w:rPr>
              <w:t>радионуклидных</w:t>
            </w:r>
            <w:proofErr w:type="spellEnd"/>
            <w:r>
              <w:rPr>
                <w:rFonts w:ascii="Times New Roman" w:eastAsia="Times New Roman" w:hAnsi="Times New Roman" w:cs="Times New Roman"/>
                <w:sz w:val="24"/>
                <w:szCs w:val="24"/>
              </w:rPr>
              <w:t xml:space="preserve"> методов исследования в клинической медицине. </w:t>
            </w:r>
            <w:proofErr w:type="spellStart"/>
            <w:r>
              <w:rPr>
                <w:rFonts w:ascii="Times New Roman" w:eastAsia="Times New Roman" w:hAnsi="Times New Roman" w:cs="Times New Roman"/>
                <w:sz w:val="24"/>
                <w:szCs w:val="24"/>
              </w:rPr>
              <w:t>Радионуклидная</w:t>
            </w:r>
            <w:proofErr w:type="spellEnd"/>
            <w:r>
              <w:rPr>
                <w:rFonts w:ascii="Times New Roman" w:eastAsia="Times New Roman" w:hAnsi="Times New Roman" w:cs="Times New Roman"/>
                <w:sz w:val="24"/>
                <w:szCs w:val="24"/>
              </w:rPr>
              <w:t xml:space="preserve"> диагностика – один из видов лучевой </w:t>
            </w:r>
            <w:r>
              <w:rPr>
                <w:rFonts w:ascii="Times New Roman" w:eastAsia="Times New Roman" w:hAnsi="Times New Roman" w:cs="Times New Roman"/>
                <w:sz w:val="24"/>
                <w:szCs w:val="24"/>
              </w:rPr>
              <w:t>диагностики, основанный на внешней радиометрии излучения, исходящего из органов и тканей после введения радиофармацевтических препаратов непосредственно в организм пациента. Это метод функциональной визуализации, позволяющий качественно и количественно оце</w:t>
            </w:r>
            <w:r>
              <w:rPr>
                <w:rFonts w:ascii="Times New Roman" w:eastAsia="Times New Roman" w:hAnsi="Times New Roman" w:cs="Times New Roman"/>
                <w:sz w:val="24"/>
                <w:szCs w:val="24"/>
              </w:rPr>
              <w:t xml:space="preserve">нить наличие функционирующей ткани в исследуемом органе.  </w:t>
            </w:r>
            <w:proofErr w:type="spellStart"/>
            <w:r>
              <w:rPr>
                <w:rFonts w:ascii="Times New Roman" w:eastAsia="Times New Roman" w:hAnsi="Times New Roman" w:cs="Times New Roman"/>
                <w:sz w:val="24"/>
                <w:szCs w:val="24"/>
              </w:rPr>
              <w:t>Радионуклидная</w:t>
            </w:r>
            <w:proofErr w:type="spellEnd"/>
            <w:r>
              <w:rPr>
                <w:rFonts w:ascii="Times New Roman" w:eastAsia="Times New Roman" w:hAnsi="Times New Roman" w:cs="Times New Roman"/>
                <w:sz w:val="24"/>
                <w:szCs w:val="24"/>
              </w:rPr>
              <w:t xml:space="preserve"> диагностика основана на дистанционной радиометрии и использовании </w:t>
            </w:r>
            <w:proofErr w:type="spellStart"/>
            <w:r>
              <w:rPr>
                <w:rFonts w:ascii="Times New Roman" w:eastAsia="Times New Roman" w:hAnsi="Times New Roman" w:cs="Times New Roman"/>
                <w:sz w:val="24"/>
                <w:szCs w:val="24"/>
              </w:rPr>
              <w:t>радиофармпрепаратов</w:t>
            </w:r>
            <w:proofErr w:type="spellEnd"/>
            <w:r>
              <w:rPr>
                <w:rFonts w:ascii="Times New Roman" w:eastAsia="Times New Roman" w:hAnsi="Times New Roman" w:cs="Times New Roman"/>
                <w:sz w:val="24"/>
                <w:szCs w:val="24"/>
              </w:rPr>
              <w:t xml:space="preserve">, отличительная черта которых – способность накапливаться и распределяться в исследуемом органе в </w:t>
            </w:r>
            <w:r>
              <w:rPr>
                <w:rFonts w:ascii="Times New Roman" w:eastAsia="Times New Roman" w:hAnsi="Times New Roman" w:cs="Times New Roman"/>
                <w:sz w:val="24"/>
                <w:szCs w:val="24"/>
              </w:rPr>
              <w:t>зависимости от наличия функционирующей ткани и отражать динамику протекающих в органе процессов.</w:t>
            </w:r>
          </w:p>
        </w:tc>
        <w:tc>
          <w:tcPr>
            <w:tcW w:w="5042" w:type="dxa"/>
          </w:tcPr>
          <w:p w:rsidR="00193702" w:rsidRPr="00EC62D1" w:rsidRDefault="00D8146E">
            <w:pPr>
              <w:ind w:firstLine="700"/>
              <w:jc w:val="both"/>
              <w:rPr>
                <w:rFonts w:ascii="Calibri" w:eastAsia="Calibri" w:hAnsi="Calibri" w:cs="Calibri"/>
                <w:lang w:val="en-US"/>
              </w:rPr>
            </w:pPr>
            <w:r w:rsidRPr="00EC62D1">
              <w:rPr>
                <w:rFonts w:ascii="Times New Roman" w:eastAsia="Times New Roman" w:hAnsi="Times New Roman" w:cs="Times New Roman"/>
                <w:sz w:val="24"/>
                <w:szCs w:val="24"/>
                <w:lang w:val="en-US"/>
              </w:rPr>
              <w:t>The discipline "Radionuclide diagnostics and therapy" includes information on the use of radionuclide research methods in clinical medicine. Radionuclide diagn</w:t>
            </w:r>
            <w:r w:rsidRPr="00EC62D1">
              <w:rPr>
                <w:rFonts w:ascii="Times New Roman" w:eastAsia="Times New Roman" w:hAnsi="Times New Roman" w:cs="Times New Roman"/>
                <w:sz w:val="24"/>
                <w:szCs w:val="24"/>
                <w:lang w:val="en-US"/>
              </w:rPr>
              <w:t>ostics is one of the types of radiation diagnostics based on external radiometry of radiation emitted by organs and tissues after the introduction of radiopharmaceuticals directly into the patient's body. This is a method of functional visualization that a</w:t>
            </w:r>
            <w:r w:rsidRPr="00EC62D1">
              <w:rPr>
                <w:rFonts w:ascii="Times New Roman" w:eastAsia="Times New Roman" w:hAnsi="Times New Roman" w:cs="Times New Roman"/>
                <w:sz w:val="24"/>
                <w:szCs w:val="24"/>
                <w:lang w:val="en-US"/>
              </w:rPr>
              <w:t xml:space="preserve">llows for a qualitative and quantitative assessment of the presence of functioning tissue in the organ </w:t>
            </w:r>
            <w:proofErr w:type="gramStart"/>
            <w:r w:rsidRPr="00EC62D1">
              <w:rPr>
                <w:rFonts w:ascii="Times New Roman" w:eastAsia="Times New Roman" w:hAnsi="Times New Roman" w:cs="Times New Roman"/>
                <w:sz w:val="24"/>
                <w:szCs w:val="24"/>
                <w:lang w:val="en-US"/>
              </w:rPr>
              <w:t>being examined</w:t>
            </w:r>
            <w:proofErr w:type="gramEnd"/>
            <w:r w:rsidRPr="00EC62D1">
              <w:rPr>
                <w:rFonts w:ascii="Times New Roman" w:eastAsia="Times New Roman" w:hAnsi="Times New Roman" w:cs="Times New Roman"/>
                <w:sz w:val="24"/>
                <w:szCs w:val="24"/>
                <w:lang w:val="en-US"/>
              </w:rPr>
              <w:t xml:space="preserve">. Radionuclide diagnostics </w:t>
            </w:r>
            <w:proofErr w:type="gramStart"/>
            <w:r w:rsidRPr="00EC62D1">
              <w:rPr>
                <w:rFonts w:ascii="Times New Roman" w:eastAsia="Times New Roman" w:hAnsi="Times New Roman" w:cs="Times New Roman"/>
                <w:sz w:val="24"/>
                <w:szCs w:val="24"/>
                <w:lang w:val="en-US"/>
              </w:rPr>
              <w:t>is based</w:t>
            </w:r>
            <w:proofErr w:type="gramEnd"/>
            <w:r w:rsidRPr="00EC62D1">
              <w:rPr>
                <w:rFonts w:ascii="Times New Roman" w:eastAsia="Times New Roman" w:hAnsi="Times New Roman" w:cs="Times New Roman"/>
                <w:sz w:val="24"/>
                <w:szCs w:val="24"/>
                <w:lang w:val="en-US"/>
              </w:rPr>
              <w:t xml:space="preserve"> on remote radiometry and the use of radiopharmaceuticals, the distinctive feature of which is the abili</w:t>
            </w:r>
            <w:r w:rsidRPr="00EC62D1">
              <w:rPr>
                <w:rFonts w:ascii="Times New Roman" w:eastAsia="Times New Roman" w:hAnsi="Times New Roman" w:cs="Times New Roman"/>
                <w:sz w:val="24"/>
                <w:szCs w:val="24"/>
                <w:lang w:val="en-US"/>
              </w:rPr>
              <w:t>ty to accumulate and distribute in the organ being examined depending on the presence of functioning tissue and to reflect the dynamics of the processes occurring in the organ.</w:t>
            </w:r>
          </w:p>
        </w:tc>
      </w:tr>
      <w:tr w:rsidR="00193702" w:rsidRPr="00EC62D1">
        <w:tc>
          <w:tcPr>
            <w:tcW w:w="5042" w:type="dxa"/>
          </w:tcPr>
          <w:p w:rsidR="00193702" w:rsidRPr="00EC62D1" w:rsidRDefault="00D8146E">
            <w:pPr>
              <w:rPr>
                <w:rFonts w:ascii="Times New Roman" w:eastAsia="Times New Roman" w:hAnsi="Times New Roman" w:cs="Times New Roman"/>
                <w:b/>
                <w:sz w:val="24"/>
                <w:szCs w:val="24"/>
                <w:lang w:val="en-US"/>
              </w:rPr>
            </w:pPr>
            <w:r>
              <w:rPr>
                <w:rFonts w:ascii="Times New Roman" w:eastAsia="Times New Roman" w:hAnsi="Times New Roman" w:cs="Times New Roman"/>
                <w:color w:val="404040"/>
                <w:sz w:val="24"/>
                <w:szCs w:val="24"/>
                <w:highlight w:val="white"/>
              </w:rPr>
              <w:t>Формируемые</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компетенции</w:t>
            </w:r>
            <w:r w:rsidRPr="00EC62D1">
              <w:rPr>
                <w:rFonts w:ascii="Times New Roman" w:eastAsia="Times New Roman" w:hAnsi="Times New Roman" w:cs="Times New Roman"/>
                <w:color w:val="404040"/>
                <w:sz w:val="24"/>
                <w:szCs w:val="24"/>
                <w:highlight w:val="white"/>
                <w:lang w:val="en-US"/>
              </w:rPr>
              <w:t xml:space="preserve"> / The formed competences</w:t>
            </w:r>
          </w:p>
        </w:tc>
        <w:tc>
          <w:tcPr>
            <w:tcW w:w="5042" w:type="dxa"/>
          </w:tcPr>
          <w:p w:rsidR="00193702" w:rsidRDefault="00D814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УК-1. Владеть основами исслед</w:t>
            </w:r>
            <w:r>
              <w:rPr>
                <w:rFonts w:ascii="Times New Roman" w:eastAsia="Times New Roman" w:hAnsi="Times New Roman" w:cs="Times New Roman"/>
                <w:sz w:val="24"/>
                <w:szCs w:val="24"/>
              </w:rPr>
              <w:t>овательской деятельности, осуществлять поиск, анализ и синтез информации;</w:t>
            </w:r>
          </w:p>
          <w:p w:rsidR="00193702" w:rsidRDefault="00D8146E">
            <w:pPr>
              <w:jc w:val="both"/>
              <w:rPr>
                <w:rFonts w:ascii="Calibri" w:eastAsia="Calibri" w:hAnsi="Calibri" w:cs="Calibri"/>
              </w:rPr>
            </w:pPr>
            <w:r>
              <w:rPr>
                <w:rFonts w:ascii="Times New Roman" w:eastAsia="Times New Roman" w:hAnsi="Times New Roman" w:cs="Times New Roman"/>
                <w:sz w:val="24"/>
                <w:szCs w:val="24"/>
              </w:rPr>
              <w:t xml:space="preserve">БПК-20. Использовать методики </w:t>
            </w:r>
            <w:proofErr w:type="spellStart"/>
            <w:r>
              <w:rPr>
                <w:rFonts w:ascii="Times New Roman" w:eastAsia="Times New Roman" w:hAnsi="Times New Roman" w:cs="Times New Roman"/>
                <w:sz w:val="24"/>
                <w:szCs w:val="24"/>
              </w:rPr>
              <w:t>радионуклидной</w:t>
            </w:r>
            <w:proofErr w:type="spellEnd"/>
            <w:r>
              <w:rPr>
                <w:rFonts w:ascii="Times New Roman" w:eastAsia="Times New Roman" w:hAnsi="Times New Roman" w:cs="Times New Roman"/>
                <w:sz w:val="24"/>
                <w:szCs w:val="24"/>
              </w:rPr>
              <w:t xml:space="preserve"> диагностики и терапии для оценки доз облучения пациента и персонала при решении профессиональных задач.</w:t>
            </w:r>
          </w:p>
        </w:tc>
        <w:tc>
          <w:tcPr>
            <w:tcW w:w="5042" w:type="dxa"/>
          </w:tcPr>
          <w:p w:rsidR="00193702" w:rsidRPr="00EC62D1" w:rsidRDefault="00D8146E">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xml:space="preserve">UK-1. Have a basic understanding </w:t>
            </w:r>
            <w:r w:rsidRPr="00EC62D1">
              <w:rPr>
                <w:rFonts w:ascii="Times New Roman" w:eastAsia="Times New Roman" w:hAnsi="Times New Roman" w:cs="Times New Roman"/>
                <w:sz w:val="24"/>
                <w:szCs w:val="24"/>
                <w:lang w:val="en-US"/>
              </w:rPr>
              <w:t>of research activities, search, analyze and synthesize information;</w:t>
            </w:r>
          </w:p>
          <w:p w:rsidR="00193702" w:rsidRPr="00EC62D1" w:rsidRDefault="00D8146E">
            <w:pPr>
              <w:jc w:val="both"/>
              <w:rPr>
                <w:rFonts w:ascii="Calibri" w:eastAsia="Calibri" w:hAnsi="Calibri" w:cs="Calibri"/>
                <w:lang w:val="en-US"/>
              </w:rPr>
            </w:pPr>
            <w:r w:rsidRPr="00EC62D1">
              <w:rPr>
                <w:rFonts w:ascii="Times New Roman" w:eastAsia="Times New Roman" w:hAnsi="Times New Roman" w:cs="Times New Roman"/>
                <w:sz w:val="24"/>
                <w:szCs w:val="24"/>
                <w:lang w:val="en-US"/>
              </w:rPr>
              <w:t>BPK-20. Use radionuclide diagnostic and therapeutic methods to assess patient and personnel radiation doses when solving professional problems.</w:t>
            </w:r>
          </w:p>
        </w:tc>
      </w:tr>
      <w:tr w:rsidR="00193702" w:rsidRPr="00EC62D1">
        <w:tc>
          <w:tcPr>
            <w:tcW w:w="5042" w:type="dxa"/>
          </w:tcPr>
          <w:p w:rsidR="00193702" w:rsidRDefault="00D8146E">
            <w:pP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t>Результаты обучения (знать, уметь, владеть)</w:t>
            </w:r>
            <w:r>
              <w:rPr>
                <w:rFonts w:ascii="Times New Roman" w:eastAsia="Times New Roman" w:hAnsi="Times New Roman" w:cs="Times New Roman"/>
                <w:color w:val="404040"/>
                <w:sz w:val="24"/>
                <w:szCs w:val="24"/>
                <w:highlight w:val="white"/>
              </w:rPr>
              <w:t xml:space="preserve"> / </w:t>
            </w:r>
            <w:proofErr w:type="spellStart"/>
            <w:r>
              <w:rPr>
                <w:rFonts w:ascii="Times New Roman" w:eastAsia="Times New Roman" w:hAnsi="Times New Roman" w:cs="Times New Roman"/>
                <w:color w:val="404040"/>
                <w:sz w:val="24"/>
                <w:szCs w:val="24"/>
                <w:highlight w:val="white"/>
              </w:rPr>
              <w:t>Learning</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outcomes</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know</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can</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be</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able</w:t>
            </w:r>
            <w:proofErr w:type="spellEnd"/>
            <w:r>
              <w:rPr>
                <w:rFonts w:ascii="Times New Roman" w:eastAsia="Times New Roman" w:hAnsi="Times New Roman" w:cs="Times New Roman"/>
                <w:color w:val="404040"/>
                <w:sz w:val="24"/>
                <w:szCs w:val="24"/>
                <w:highlight w:val="white"/>
              </w:rPr>
              <w:t>)</w:t>
            </w:r>
          </w:p>
          <w:p w:rsidR="00193702" w:rsidRDefault="00193702">
            <w:pPr>
              <w:rPr>
                <w:rFonts w:ascii="Times New Roman" w:eastAsia="Times New Roman" w:hAnsi="Times New Roman" w:cs="Times New Roman"/>
                <w:b/>
                <w:sz w:val="24"/>
                <w:szCs w:val="24"/>
              </w:rPr>
            </w:pPr>
          </w:p>
        </w:tc>
        <w:tc>
          <w:tcPr>
            <w:tcW w:w="5042" w:type="dxa"/>
          </w:tcPr>
          <w:p w:rsidR="00193702" w:rsidRDefault="00D8146E" w:rsidP="00EC62D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знать:</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характеристики основных радионуклидов, применяемых в радио </w:t>
            </w:r>
            <w:proofErr w:type="spellStart"/>
            <w:r>
              <w:rPr>
                <w:rFonts w:ascii="Times New Roman" w:eastAsia="Times New Roman" w:hAnsi="Times New Roman" w:cs="Times New Roman"/>
                <w:sz w:val="24"/>
                <w:szCs w:val="24"/>
              </w:rPr>
              <w:t>нуклидной</w:t>
            </w:r>
            <w:proofErr w:type="spellEnd"/>
            <w:r>
              <w:rPr>
                <w:rFonts w:ascii="Times New Roman" w:eastAsia="Times New Roman" w:hAnsi="Times New Roman" w:cs="Times New Roman"/>
                <w:sz w:val="24"/>
                <w:szCs w:val="24"/>
              </w:rPr>
              <w:t xml:space="preserve"> диагностики;</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принципы получения </w:t>
            </w:r>
            <w:proofErr w:type="spellStart"/>
            <w:r>
              <w:rPr>
                <w:rFonts w:ascii="Times New Roman" w:eastAsia="Times New Roman" w:hAnsi="Times New Roman" w:cs="Times New Roman"/>
                <w:sz w:val="24"/>
                <w:szCs w:val="24"/>
              </w:rPr>
              <w:t>томографических</w:t>
            </w:r>
            <w:proofErr w:type="spellEnd"/>
            <w:r>
              <w:rPr>
                <w:rFonts w:ascii="Times New Roman" w:eastAsia="Times New Roman" w:hAnsi="Times New Roman" w:cs="Times New Roman"/>
                <w:sz w:val="24"/>
                <w:szCs w:val="24"/>
              </w:rPr>
              <w:t xml:space="preserve"> данных в </w:t>
            </w:r>
            <w:proofErr w:type="spellStart"/>
            <w:r>
              <w:rPr>
                <w:rFonts w:ascii="Times New Roman" w:eastAsia="Times New Roman" w:hAnsi="Times New Roman" w:cs="Times New Roman"/>
                <w:sz w:val="24"/>
                <w:szCs w:val="24"/>
              </w:rPr>
              <w:t>позитронно</w:t>
            </w:r>
            <w:proofErr w:type="spellEnd"/>
            <w:r>
              <w:rPr>
                <w:rFonts w:ascii="Times New Roman" w:eastAsia="Times New Roman" w:hAnsi="Times New Roman" w:cs="Times New Roman"/>
                <w:sz w:val="24"/>
                <w:szCs w:val="24"/>
              </w:rPr>
              <w:t xml:space="preserve"> эмиссионной томографии (ПЭТ) и однофотонной эмиссионной томографии;</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структуру и назначении отдельных элементов ПЭТ и ОФЭКТ-систем;</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устройство гамма-камеры;</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радиофармпрепараты</w:t>
            </w:r>
            <w:proofErr w:type="spellEnd"/>
            <w:r>
              <w:rPr>
                <w:rFonts w:ascii="Times New Roman" w:eastAsia="Times New Roman" w:hAnsi="Times New Roman" w:cs="Times New Roman"/>
                <w:sz w:val="24"/>
                <w:szCs w:val="24"/>
              </w:rPr>
              <w:t>, приме</w:t>
            </w:r>
            <w:r>
              <w:rPr>
                <w:rFonts w:ascii="Times New Roman" w:eastAsia="Times New Roman" w:hAnsi="Times New Roman" w:cs="Times New Roman"/>
                <w:sz w:val="24"/>
                <w:szCs w:val="24"/>
              </w:rPr>
              <w:t>няемые в ядерной медицине;</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методы снижения радиационной нагрузки на пациентов;</w:t>
            </w:r>
          </w:p>
          <w:p w:rsidR="00193702" w:rsidRDefault="00D8146E" w:rsidP="00EC62D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уметь:</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приемами по снижению дозовых нагрузок на персонал;</w:t>
            </w:r>
          </w:p>
          <w:p w:rsidR="00193702" w:rsidRDefault="00D8146E" w:rsidP="00EC62D1">
            <w:pPr>
              <w:ind w:lef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физико-технические данные ПЭТ и ОФЭКТ, ориентироваться в методах реконструкци</w:t>
            </w:r>
            <w:r>
              <w:rPr>
                <w:rFonts w:ascii="Times New Roman" w:eastAsia="Times New Roman" w:hAnsi="Times New Roman" w:cs="Times New Roman"/>
                <w:sz w:val="24"/>
                <w:szCs w:val="24"/>
              </w:rPr>
              <w:t>и ПЭТ и ОФЭКТ изображений;</w:t>
            </w:r>
          </w:p>
          <w:p w:rsidR="00193702" w:rsidRDefault="00D8146E" w:rsidP="00EC62D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владеть:</w:t>
            </w:r>
          </w:p>
          <w:p w:rsidR="00193702" w:rsidRDefault="00D8146E" w:rsidP="00EC62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методами обработки результатов экспериментальных исследований;</w:t>
            </w:r>
          </w:p>
          <w:p w:rsidR="00193702" w:rsidRDefault="00D8146E" w:rsidP="00EC62D1">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современными научными знаниями в областях, связанных с реализацией профессиональной деятельности</w:t>
            </w:r>
            <w:r>
              <w:rPr>
                <w:rFonts w:ascii="Times New Roman" w:eastAsia="Times New Roman" w:hAnsi="Times New Roman" w:cs="Times New Roman"/>
                <w:b/>
                <w:i/>
                <w:sz w:val="24"/>
                <w:szCs w:val="24"/>
              </w:rPr>
              <w:t>;</w:t>
            </w:r>
          </w:p>
          <w:p w:rsidR="00EC62D1" w:rsidRDefault="00D8146E" w:rsidP="00EC62D1">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EC62D1">
              <w:rPr>
                <w:rFonts w:ascii="Times New Roman" w:eastAsia="Times New Roman" w:hAnsi="Times New Roman" w:cs="Times New Roman"/>
                <w:b/>
                <w:i/>
                <w:sz w:val="24"/>
                <w:szCs w:val="24"/>
                <w:lang w:val="ru-RU"/>
              </w:rPr>
              <w:t xml:space="preserve">- </w:t>
            </w:r>
            <w:r>
              <w:rPr>
                <w:rFonts w:ascii="Times New Roman" w:eastAsia="Times New Roman" w:hAnsi="Times New Roman" w:cs="Times New Roman"/>
                <w:sz w:val="24"/>
                <w:szCs w:val="24"/>
              </w:rPr>
              <w:t xml:space="preserve">методами введения поправок в ПЭТ и ОФЭКТ; </w:t>
            </w:r>
          </w:p>
          <w:p w:rsidR="00EC62D1" w:rsidRDefault="00EC62D1" w:rsidP="00EC62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D8146E">
              <w:rPr>
                <w:rFonts w:ascii="Times New Roman" w:eastAsia="Times New Roman" w:hAnsi="Times New Roman" w:cs="Times New Roman"/>
                <w:sz w:val="24"/>
                <w:szCs w:val="24"/>
              </w:rPr>
              <w:t>навыками рек</w:t>
            </w:r>
            <w:r w:rsidR="00D8146E">
              <w:rPr>
                <w:rFonts w:ascii="Times New Roman" w:eastAsia="Times New Roman" w:hAnsi="Times New Roman" w:cs="Times New Roman"/>
                <w:sz w:val="24"/>
                <w:szCs w:val="24"/>
              </w:rPr>
              <w:t xml:space="preserve">онструкции ПЭТ и ОФЭКТ-изображений; </w:t>
            </w:r>
          </w:p>
          <w:p w:rsidR="00193702" w:rsidRDefault="00EC62D1" w:rsidP="00EC62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D8146E">
              <w:rPr>
                <w:rFonts w:ascii="Times New Roman" w:eastAsia="Times New Roman" w:hAnsi="Times New Roman" w:cs="Times New Roman"/>
                <w:sz w:val="24"/>
                <w:szCs w:val="24"/>
              </w:rPr>
              <w:t>навыками тестирования ПЭТ-сканеров.</w:t>
            </w:r>
          </w:p>
        </w:tc>
        <w:tc>
          <w:tcPr>
            <w:tcW w:w="5042" w:type="dxa"/>
          </w:tcPr>
          <w:p w:rsidR="00193702" w:rsidRPr="00EC62D1" w:rsidRDefault="00D8146E" w:rsidP="00EC62D1">
            <w:pPr>
              <w:jc w:val="both"/>
              <w:rPr>
                <w:rFonts w:ascii="Times New Roman" w:eastAsia="Times New Roman" w:hAnsi="Times New Roman" w:cs="Times New Roman"/>
                <w:b/>
                <w:i/>
                <w:sz w:val="24"/>
                <w:szCs w:val="24"/>
                <w:lang w:val="en-US"/>
              </w:rPr>
            </w:pPr>
            <w:r w:rsidRPr="00EC62D1">
              <w:rPr>
                <w:rFonts w:ascii="Times New Roman" w:eastAsia="Times New Roman" w:hAnsi="Times New Roman" w:cs="Times New Roman"/>
                <w:b/>
                <w:i/>
                <w:sz w:val="24"/>
                <w:szCs w:val="24"/>
                <w:lang w:val="en-US"/>
              </w:rPr>
              <w:lastRenderedPageBreak/>
              <w:t>know:</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characteristics of the main radionuclides used in radionuclide diagnostics;</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lastRenderedPageBreak/>
              <w:t>–    principles of obtaining tomographic data in positron emission tomography (PET) and single-photon emission tomography;</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the structure and purpose of individual elements of PET and SPECT systems;</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gamma camera device;</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radiopharmaceuticals u</w:t>
            </w:r>
            <w:r w:rsidRPr="00EC62D1">
              <w:rPr>
                <w:rFonts w:ascii="Times New Roman" w:eastAsia="Times New Roman" w:hAnsi="Times New Roman" w:cs="Times New Roman"/>
                <w:sz w:val="24"/>
                <w:szCs w:val="24"/>
                <w:lang w:val="en-US"/>
              </w:rPr>
              <w:t>sed in nuclear medicine;</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methods for reducing radiation exposure to patients;</w:t>
            </w:r>
          </w:p>
          <w:p w:rsidR="00193702" w:rsidRPr="00EC62D1" w:rsidRDefault="00D8146E" w:rsidP="00EC62D1">
            <w:pPr>
              <w:jc w:val="both"/>
              <w:rPr>
                <w:rFonts w:ascii="Times New Roman" w:eastAsia="Times New Roman" w:hAnsi="Times New Roman" w:cs="Times New Roman"/>
                <w:b/>
                <w:i/>
                <w:sz w:val="24"/>
                <w:szCs w:val="24"/>
                <w:lang w:val="en-US"/>
              </w:rPr>
            </w:pPr>
            <w:r w:rsidRPr="00EC62D1">
              <w:rPr>
                <w:rFonts w:ascii="Times New Roman" w:eastAsia="Times New Roman" w:hAnsi="Times New Roman" w:cs="Times New Roman"/>
                <w:b/>
                <w:i/>
                <w:sz w:val="24"/>
                <w:szCs w:val="24"/>
                <w:lang w:val="en-US"/>
              </w:rPr>
              <w:t>be able to:</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use techniques to reduce radiation exposure to personnel;</w:t>
            </w:r>
          </w:p>
          <w:p w:rsidR="00193702" w:rsidRPr="00EC62D1" w:rsidRDefault="00D8146E" w:rsidP="00EC62D1">
            <w:pPr>
              <w:jc w:val="both"/>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xml:space="preserve">–    analyze physical and technical data of PET and SPECT, navigate the methods of reconstruction </w:t>
            </w:r>
            <w:r w:rsidRPr="00EC62D1">
              <w:rPr>
                <w:rFonts w:ascii="Times New Roman" w:eastAsia="Times New Roman" w:hAnsi="Times New Roman" w:cs="Times New Roman"/>
                <w:sz w:val="24"/>
                <w:szCs w:val="24"/>
                <w:lang w:val="en-US"/>
              </w:rPr>
              <w:t>of PET and SPECT images;</w:t>
            </w:r>
          </w:p>
          <w:p w:rsidR="00193702" w:rsidRPr="00EC62D1" w:rsidRDefault="00D8146E" w:rsidP="00EC62D1">
            <w:pPr>
              <w:jc w:val="both"/>
              <w:rPr>
                <w:rFonts w:ascii="Times New Roman" w:eastAsia="Times New Roman" w:hAnsi="Times New Roman" w:cs="Times New Roman"/>
                <w:b/>
                <w:i/>
                <w:sz w:val="24"/>
                <w:szCs w:val="24"/>
                <w:lang w:val="en-US"/>
              </w:rPr>
            </w:pPr>
            <w:r w:rsidRPr="00EC62D1">
              <w:rPr>
                <w:rFonts w:ascii="Times New Roman" w:eastAsia="Times New Roman" w:hAnsi="Times New Roman" w:cs="Times New Roman"/>
                <w:b/>
                <w:i/>
                <w:sz w:val="24"/>
                <w:szCs w:val="24"/>
                <w:lang w:val="en-US"/>
              </w:rPr>
              <w:t>own:</w:t>
            </w:r>
          </w:p>
          <w:p w:rsidR="00193702" w:rsidRPr="00EC62D1" w:rsidRDefault="00EC62D1" w:rsidP="00EC62D1">
            <w:pPr>
              <w:ind w:firstLine="6"/>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w:t>
            </w:r>
            <w:r w:rsidR="00D8146E" w:rsidRPr="00EC62D1">
              <w:rPr>
                <w:rFonts w:ascii="Times New Roman" w:eastAsia="Times New Roman" w:hAnsi="Times New Roman" w:cs="Times New Roman"/>
                <w:sz w:val="24"/>
                <w:szCs w:val="24"/>
                <w:lang w:val="en-US"/>
              </w:rPr>
              <w:tab/>
            </w:r>
            <w:bookmarkStart w:id="0" w:name="_GoBack"/>
            <w:bookmarkEnd w:id="0"/>
            <w:r w:rsidR="00D8146E" w:rsidRPr="00EC62D1">
              <w:rPr>
                <w:rFonts w:ascii="Times New Roman" w:eastAsia="Times New Roman" w:hAnsi="Times New Roman" w:cs="Times New Roman"/>
                <w:sz w:val="24"/>
                <w:szCs w:val="24"/>
                <w:lang w:val="en-US"/>
              </w:rPr>
              <w:t>methods of processing the results of experimental studies;</w:t>
            </w:r>
          </w:p>
          <w:p w:rsidR="00193702" w:rsidRPr="00EC62D1" w:rsidRDefault="00EC62D1" w:rsidP="00EC62D1">
            <w:pPr>
              <w:ind w:firstLine="6"/>
              <w:rPr>
                <w:rFonts w:ascii="Times New Roman" w:eastAsia="Times New Roman" w:hAnsi="Times New Roman" w:cs="Times New Roman"/>
                <w:b/>
                <w:i/>
                <w:sz w:val="24"/>
                <w:szCs w:val="24"/>
                <w:lang w:val="en-US"/>
              </w:rPr>
            </w:pPr>
            <w:r w:rsidRPr="00EC62D1">
              <w:rPr>
                <w:rFonts w:ascii="Times New Roman" w:eastAsia="Times New Roman" w:hAnsi="Times New Roman" w:cs="Times New Roman"/>
                <w:sz w:val="24"/>
                <w:szCs w:val="24"/>
                <w:lang w:val="en-US"/>
              </w:rPr>
              <w:t>–</w:t>
            </w:r>
            <w:r w:rsidR="00D8146E" w:rsidRPr="00EC62D1">
              <w:rPr>
                <w:rFonts w:ascii="Times New Roman" w:eastAsia="Times New Roman" w:hAnsi="Times New Roman" w:cs="Times New Roman"/>
                <w:sz w:val="24"/>
                <w:szCs w:val="24"/>
                <w:lang w:val="en-US"/>
              </w:rPr>
              <w:tab/>
              <w:t>modern scientific knowledge in areas related to the implementation of professional activities</w:t>
            </w:r>
            <w:r w:rsidR="00D8146E" w:rsidRPr="00EC62D1">
              <w:rPr>
                <w:rFonts w:ascii="Times New Roman" w:eastAsia="Times New Roman" w:hAnsi="Times New Roman" w:cs="Times New Roman"/>
                <w:b/>
                <w:i/>
                <w:sz w:val="24"/>
                <w:szCs w:val="24"/>
                <w:lang w:val="en-US"/>
              </w:rPr>
              <w:t>;</w:t>
            </w:r>
          </w:p>
          <w:p w:rsidR="00EC62D1" w:rsidRDefault="00D8146E" w:rsidP="00EC62D1">
            <w:pPr>
              <w:ind w:firstLine="6"/>
              <w:rPr>
                <w:rFonts w:ascii="Times New Roman" w:eastAsia="Times New Roman" w:hAnsi="Times New Roman" w:cs="Times New Roman"/>
                <w:sz w:val="24"/>
                <w:szCs w:val="24"/>
                <w:lang w:val="en-US"/>
              </w:rPr>
            </w:pPr>
            <w:r w:rsidRPr="00EC62D1">
              <w:rPr>
                <w:rFonts w:ascii="Times New Roman" w:eastAsia="Times New Roman" w:hAnsi="Times New Roman" w:cs="Times New Roman"/>
                <w:b/>
                <w:i/>
                <w:sz w:val="24"/>
                <w:szCs w:val="24"/>
                <w:lang w:val="en-US"/>
              </w:rPr>
              <w:t xml:space="preserve"> </w:t>
            </w:r>
            <w:r w:rsidR="00EC62D1" w:rsidRPr="00EC62D1">
              <w:rPr>
                <w:rFonts w:ascii="Times New Roman" w:eastAsia="Times New Roman" w:hAnsi="Times New Roman" w:cs="Times New Roman"/>
                <w:sz w:val="24"/>
                <w:szCs w:val="24"/>
                <w:lang w:val="en-US"/>
              </w:rPr>
              <w:t xml:space="preserve">– </w:t>
            </w:r>
            <w:r w:rsidR="00EC62D1" w:rsidRPr="00EC62D1">
              <w:rPr>
                <w:rFonts w:ascii="Times New Roman" w:eastAsia="Times New Roman" w:hAnsi="Times New Roman" w:cs="Times New Roman"/>
                <w:sz w:val="24"/>
                <w:szCs w:val="24"/>
                <w:lang w:val="en-US"/>
              </w:rPr>
              <w:t xml:space="preserve"> </w:t>
            </w:r>
            <w:r w:rsidRPr="00EC62D1">
              <w:rPr>
                <w:rFonts w:ascii="Times New Roman" w:eastAsia="Times New Roman" w:hAnsi="Times New Roman" w:cs="Times New Roman"/>
                <w:sz w:val="24"/>
                <w:szCs w:val="24"/>
                <w:lang w:val="en-US"/>
              </w:rPr>
              <w:t xml:space="preserve">methods of introducing corrections into PET and SPECT; </w:t>
            </w:r>
          </w:p>
          <w:p w:rsidR="00EC62D1" w:rsidRDefault="00EC62D1" w:rsidP="00EC62D1">
            <w:pPr>
              <w:ind w:firstLine="6"/>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 xml:space="preserve">– </w:t>
            </w:r>
            <w:r w:rsidRPr="00EC62D1">
              <w:rPr>
                <w:rFonts w:ascii="Times New Roman" w:eastAsia="Times New Roman" w:hAnsi="Times New Roman" w:cs="Times New Roman"/>
                <w:sz w:val="24"/>
                <w:szCs w:val="24"/>
                <w:lang w:val="en-US"/>
              </w:rPr>
              <w:t xml:space="preserve"> </w:t>
            </w:r>
            <w:r w:rsidR="00D8146E" w:rsidRPr="00EC62D1">
              <w:rPr>
                <w:rFonts w:ascii="Times New Roman" w:eastAsia="Times New Roman" w:hAnsi="Times New Roman" w:cs="Times New Roman"/>
                <w:sz w:val="24"/>
                <w:szCs w:val="24"/>
                <w:lang w:val="en-US"/>
              </w:rPr>
              <w:t>skills in re</w:t>
            </w:r>
            <w:r w:rsidR="00D8146E" w:rsidRPr="00EC62D1">
              <w:rPr>
                <w:rFonts w:ascii="Times New Roman" w:eastAsia="Times New Roman" w:hAnsi="Times New Roman" w:cs="Times New Roman"/>
                <w:sz w:val="24"/>
                <w:szCs w:val="24"/>
                <w:lang w:val="en-US"/>
              </w:rPr>
              <w:t xml:space="preserve">constructing PET and SPECT images; </w:t>
            </w:r>
          </w:p>
          <w:p w:rsidR="00193702" w:rsidRPr="00EC62D1" w:rsidRDefault="00EC62D1" w:rsidP="00EC62D1">
            <w:pPr>
              <w:ind w:firstLine="6"/>
              <w:rPr>
                <w:rFonts w:ascii="Times New Roman" w:eastAsia="Times New Roman" w:hAnsi="Times New Roman" w:cs="Times New Roman"/>
                <w:sz w:val="24"/>
                <w:szCs w:val="24"/>
                <w:lang w:val="en-US"/>
              </w:rPr>
            </w:pPr>
            <w:proofErr w:type="gramStart"/>
            <w:r w:rsidRPr="00EC62D1">
              <w:rPr>
                <w:rFonts w:ascii="Times New Roman" w:eastAsia="Times New Roman" w:hAnsi="Times New Roman" w:cs="Times New Roman"/>
                <w:sz w:val="24"/>
                <w:szCs w:val="24"/>
                <w:lang w:val="en-US"/>
              </w:rPr>
              <w:t xml:space="preserve">– </w:t>
            </w:r>
            <w:r w:rsidRPr="00EC62D1">
              <w:rPr>
                <w:rFonts w:ascii="Times New Roman" w:eastAsia="Times New Roman" w:hAnsi="Times New Roman" w:cs="Times New Roman"/>
                <w:sz w:val="24"/>
                <w:szCs w:val="24"/>
                <w:lang w:val="en-US"/>
              </w:rPr>
              <w:t xml:space="preserve"> </w:t>
            </w:r>
            <w:r w:rsidR="00D8146E" w:rsidRPr="00EC62D1">
              <w:rPr>
                <w:rFonts w:ascii="Times New Roman" w:eastAsia="Times New Roman" w:hAnsi="Times New Roman" w:cs="Times New Roman"/>
                <w:sz w:val="24"/>
                <w:szCs w:val="24"/>
                <w:lang w:val="en-US"/>
              </w:rPr>
              <w:t>skills</w:t>
            </w:r>
            <w:proofErr w:type="gramEnd"/>
            <w:r w:rsidR="00D8146E" w:rsidRPr="00EC62D1">
              <w:rPr>
                <w:rFonts w:ascii="Times New Roman" w:eastAsia="Times New Roman" w:hAnsi="Times New Roman" w:cs="Times New Roman"/>
                <w:sz w:val="24"/>
                <w:szCs w:val="24"/>
                <w:lang w:val="en-US"/>
              </w:rPr>
              <w:t xml:space="preserve"> in testing PET scanners.</w:t>
            </w:r>
          </w:p>
        </w:tc>
      </w:tr>
      <w:tr w:rsidR="00193702">
        <w:tc>
          <w:tcPr>
            <w:tcW w:w="5042" w:type="dxa"/>
          </w:tcPr>
          <w:p w:rsidR="00193702" w:rsidRDefault="00D8146E">
            <w:pPr>
              <w:rPr>
                <w:rFonts w:ascii="Times New Roman" w:eastAsia="Times New Roman" w:hAnsi="Times New Roman" w:cs="Times New Roman"/>
                <w:color w:val="404040"/>
                <w:sz w:val="24"/>
                <w:szCs w:val="24"/>
                <w:highlight w:val="white"/>
              </w:rPr>
            </w:pPr>
            <w:r>
              <w:rPr>
                <w:rFonts w:ascii="Times New Roman" w:eastAsia="Times New Roman" w:hAnsi="Times New Roman" w:cs="Times New Roman"/>
                <w:color w:val="404040"/>
                <w:sz w:val="24"/>
                <w:szCs w:val="24"/>
                <w:highlight w:val="white"/>
              </w:rPr>
              <w:lastRenderedPageBreak/>
              <w:t xml:space="preserve">Семестр изучения учебной дисциплины / </w:t>
            </w:r>
            <w:proofErr w:type="spellStart"/>
            <w:r>
              <w:rPr>
                <w:rFonts w:ascii="Times New Roman" w:eastAsia="Times New Roman" w:hAnsi="Times New Roman" w:cs="Times New Roman"/>
                <w:color w:val="404040"/>
                <w:sz w:val="24"/>
                <w:szCs w:val="24"/>
                <w:highlight w:val="white"/>
              </w:rPr>
              <w:t>Semester</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of</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study</w:t>
            </w:r>
            <w:proofErr w:type="spellEnd"/>
          </w:p>
          <w:p w:rsidR="00193702" w:rsidRDefault="00193702">
            <w:pPr>
              <w:rPr>
                <w:rFonts w:ascii="Times New Roman" w:eastAsia="Times New Roman" w:hAnsi="Times New Roman" w:cs="Times New Roman"/>
                <w:b/>
                <w:sz w:val="24"/>
                <w:szCs w:val="24"/>
              </w:rPr>
            </w:pPr>
          </w:p>
        </w:tc>
        <w:tc>
          <w:tcPr>
            <w:tcW w:w="5042" w:type="dxa"/>
          </w:tcPr>
          <w:p w:rsidR="00193702" w:rsidRDefault="00D8146E">
            <w:pPr>
              <w:rPr>
                <w:rFonts w:ascii="Calibri" w:eastAsia="Calibri" w:hAnsi="Calibri" w:cs="Calibri"/>
              </w:rPr>
            </w:pPr>
            <w:r>
              <w:rPr>
                <w:rFonts w:ascii="Calibri" w:eastAsia="Calibri" w:hAnsi="Calibri" w:cs="Calibri"/>
              </w:rPr>
              <w:t>6</w:t>
            </w:r>
          </w:p>
        </w:tc>
        <w:tc>
          <w:tcPr>
            <w:tcW w:w="5042" w:type="dxa"/>
          </w:tcPr>
          <w:p w:rsidR="00193702" w:rsidRDefault="00D8146E">
            <w:pPr>
              <w:rPr>
                <w:rFonts w:ascii="Calibri" w:eastAsia="Calibri" w:hAnsi="Calibri" w:cs="Calibri"/>
              </w:rPr>
            </w:pPr>
            <w:r>
              <w:rPr>
                <w:rFonts w:ascii="Calibri" w:eastAsia="Calibri" w:hAnsi="Calibri" w:cs="Calibri"/>
              </w:rPr>
              <w:t>6</w:t>
            </w:r>
          </w:p>
        </w:tc>
      </w:tr>
      <w:tr w:rsidR="00193702" w:rsidRPr="00EC62D1">
        <w:tc>
          <w:tcPr>
            <w:tcW w:w="5042" w:type="dxa"/>
          </w:tcPr>
          <w:p w:rsidR="00193702" w:rsidRDefault="00D8146E">
            <w:pPr>
              <w:rPr>
                <w:rFonts w:ascii="Times New Roman" w:eastAsia="Times New Roman" w:hAnsi="Times New Roman" w:cs="Times New Roman"/>
                <w:color w:val="404040"/>
                <w:sz w:val="24"/>
                <w:szCs w:val="24"/>
                <w:highlight w:val="white"/>
              </w:rPr>
            </w:pPr>
            <w:proofErr w:type="spellStart"/>
            <w:r>
              <w:rPr>
                <w:rFonts w:ascii="Times New Roman" w:eastAsia="Times New Roman" w:hAnsi="Times New Roman" w:cs="Times New Roman"/>
                <w:color w:val="404040"/>
                <w:sz w:val="24"/>
                <w:szCs w:val="24"/>
                <w:highlight w:val="white"/>
              </w:rPr>
              <w:t>Пререквизиты</w:t>
            </w:r>
            <w:proofErr w:type="spellEnd"/>
            <w:r>
              <w:rPr>
                <w:rFonts w:ascii="Times New Roman" w:eastAsia="Times New Roman" w:hAnsi="Times New Roman" w:cs="Times New Roman"/>
                <w:color w:val="404040"/>
                <w:sz w:val="24"/>
                <w:szCs w:val="24"/>
                <w:highlight w:val="white"/>
              </w:rPr>
              <w:t xml:space="preserve"> / </w:t>
            </w:r>
            <w:proofErr w:type="spellStart"/>
            <w:r>
              <w:rPr>
                <w:rFonts w:ascii="Times New Roman" w:eastAsia="Times New Roman" w:hAnsi="Times New Roman" w:cs="Times New Roman"/>
                <w:color w:val="404040"/>
                <w:sz w:val="24"/>
                <w:szCs w:val="24"/>
                <w:highlight w:val="white"/>
              </w:rPr>
              <w:t>Prerequisites</w:t>
            </w:r>
            <w:proofErr w:type="spellEnd"/>
          </w:p>
          <w:p w:rsidR="00193702" w:rsidRDefault="00193702">
            <w:pPr>
              <w:rPr>
                <w:rFonts w:ascii="Times New Roman" w:eastAsia="Times New Roman" w:hAnsi="Times New Roman" w:cs="Times New Roman"/>
                <w:b/>
                <w:sz w:val="24"/>
                <w:szCs w:val="24"/>
              </w:rPr>
            </w:pPr>
          </w:p>
        </w:tc>
        <w:tc>
          <w:tcPr>
            <w:tcW w:w="5042" w:type="dxa"/>
          </w:tcPr>
          <w:p w:rsidR="00193702" w:rsidRDefault="00D8146E">
            <w:pPr>
              <w:jc w:val="both"/>
              <w:rPr>
                <w:rFonts w:ascii="Calibri" w:eastAsia="Calibri" w:hAnsi="Calibri" w:cs="Calibri"/>
                <w:sz w:val="18"/>
                <w:szCs w:val="18"/>
              </w:rPr>
            </w:pPr>
            <w:r>
              <w:rPr>
                <w:rFonts w:ascii="Times New Roman" w:eastAsia="Times New Roman" w:hAnsi="Times New Roman" w:cs="Times New Roman"/>
                <w:sz w:val="24"/>
                <w:szCs w:val="24"/>
              </w:rPr>
              <w:t>Физика ядра и ионизирующего излучения, Физика атома и атомных явлений, Биофизика неионизирующего излучения, Основы квантовой механики</w:t>
            </w:r>
          </w:p>
        </w:tc>
        <w:tc>
          <w:tcPr>
            <w:tcW w:w="5042" w:type="dxa"/>
          </w:tcPr>
          <w:p w:rsidR="00193702" w:rsidRPr="00EC62D1" w:rsidRDefault="00D8146E">
            <w:pPr>
              <w:jc w:val="both"/>
              <w:rPr>
                <w:rFonts w:ascii="Calibri" w:eastAsia="Calibri" w:hAnsi="Calibri" w:cs="Calibri"/>
                <w:sz w:val="18"/>
                <w:szCs w:val="18"/>
                <w:lang w:val="en-US"/>
              </w:rPr>
            </w:pPr>
            <w:r w:rsidRPr="00EC62D1">
              <w:rPr>
                <w:rFonts w:ascii="Times New Roman" w:eastAsia="Times New Roman" w:hAnsi="Times New Roman" w:cs="Times New Roman"/>
                <w:sz w:val="24"/>
                <w:szCs w:val="24"/>
                <w:lang w:val="en-US"/>
              </w:rPr>
              <w:t>Physics of the nucleus and ionizing radiation, Physics of the atom and atomic phenomena, Biophysics of non-ionizing radiat</w:t>
            </w:r>
            <w:r w:rsidRPr="00EC62D1">
              <w:rPr>
                <w:rFonts w:ascii="Times New Roman" w:eastAsia="Times New Roman" w:hAnsi="Times New Roman" w:cs="Times New Roman"/>
                <w:sz w:val="24"/>
                <w:szCs w:val="24"/>
                <w:lang w:val="en-US"/>
              </w:rPr>
              <w:t>ion, Fundamentals of quantum mechanics</w:t>
            </w:r>
          </w:p>
        </w:tc>
      </w:tr>
      <w:tr w:rsidR="00193702">
        <w:tc>
          <w:tcPr>
            <w:tcW w:w="5042" w:type="dxa"/>
          </w:tcPr>
          <w:p w:rsidR="00193702" w:rsidRDefault="00D8146E">
            <w:pPr>
              <w:rPr>
                <w:rFonts w:ascii="Times New Roman" w:eastAsia="Times New Roman" w:hAnsi="Times New Roman" w:cs="Times New Roman"/>
                <w:b/>
                <w:sz w:val="24"/>
                <w:szCs w:val="24"/>
              </w:rPr>
            </w:pPr>
            <w:r>
              <w:rPr>
                <w:rFonts w:ascii="Times New Roman" w:eastAsia="Times New Roman" w:hAnsi="Times New Roman" w:cs="Times New Roman"/>
                <w:color w:val="404040"/>
                <w:sz w:val="24"/>
                <w:szCs w:val="24"/>
                <w:highlight w:val="white"/>
              </w:rPr>
              <w:lastRenderedPageBreak/>
              <w:t xml:space="preserve">Трудоемкость в зачетных единицах (кредитах) / </w:t>
            </w:r>
            <w:proofErr w:type="spellStart"/>
            <w:r>
              <w:rPr>
                <w:rFonts w:ascii="Times New Roman" w:eastAsia="Times New Roman" w:hAnsi="Times New Roman" w:cs="Times New Roman"/>
                <w:color w:val="404040"/>
                <w:sz w:val="24"/>
                <w:szCs w:val="24"/>
                <w:highlight w:val="white"/>
              </w:rPr>
              <w:t>Credit</w:t>
            </w:r>
            <w:proofErr w:type="spellEnd"/>
            <w:r>
              <w:rPr>
                <w:rFonts w:ascii="Times New Roman" w:eastAsia="Times New Roman" w:hAnsi="Times New Roman" w:cs="Times New Roman"/>
                <w:color w:val="404040"/>
                <w:sz w:val="24"/>
                <w:szCs w:val="24"/>
                <w:highlight w:val="white"/>
              </w:rPr>
              <w:t xml:space="preserve"> </w:t>
            </w:r>
            <w:proofErr w:type="spellStart"/>
            <w:r>
              <w:rPr>
                <w:rFonts w:ascii="Times New Roman" w:eastAsia="Times New Roman" w:hAnsi="Times New Roman" w:cs="Times New Roman"/>
                <w:color w:val="404040"/>
                <w:sz w:val="24"/>
                <w:szCs w:val="24"/>
                <w:highlight w:val="white"/>
              </w:rPr>
              <w:t>units</w:t>
            </w:r>
            <w:proofErr w:type="spellEnd"/>
          </w:p>
        </w:tc>
        <w:tc>
          <w:tcPr>
            <w:tcW w:w="5042" w:type="dxa"/>
          </w:tcPr>
          <w:p w:rsidR="00193702" w:rsidRDefault="00D8146E">
            <w:pPr>
              <w:rPr>
                <w:rFonts w:ascii="Calibri" w:eastAsia="Calibri" w:hAnsi="Calibri" w:cs="Calibri"/>
              </w:rPr>
            </w:pPr>
            <w:r>
              <w:rPr>
                <w:rFonts w:ascii="Calibri" w:eastAsia="Calibri" w:hAnsi="Calibri" w:cs="Calibri"/>
              </w:rPr>
              <w:t>3</w:t>
            </w:r>
          </w:p>
        </w:tc>
        <w:tc>
          <w:tcPr>
            <w:tcW w:w="5042" w:type="dxa"/>
          </w:tcPr>
          <w:p w:rsidR="00193702" w:rsidRDefault="00D8146E">
            <w:pPr>
              <w:rPr>
                <w:rFonts w:ascii="Calibri" w:eastAsia="Calibri" w:hAnsi="Calibri" w:cs="Calibri"/>
              </w:rPr>
            </w:pPr>
            <w:r>
              <w:rPr>
                <w:rFonts w:ascii="Calibri" w:eastAsia="Calibri" w:hAnsi="Calibri" w:cs="Calibri"/>
              </w:rPr>
              <w:t>3</w:t>
            </w:r>
          </w:p>
        </w:tc>
      </w:tr>
      <w:tr w:rsidR="00193702">
        <w:tc>
          <w:tcPr>
            <w:tcW w:w="5042" w:type="dxa"/>
          </w:tcPr>
          <w:p w:rsidR="00193702" w:rsidRPr="00EC62D1" w:rsidRDefault="00D8146E">
            <w:pPr>
              <w:rPr>
                <w:rFonts w:ascii="Times New Roman" w:eastAsia="Times New Roman" w:hAnsi="Times New Roman" w:cs="Times New Roman"/>
                <w:b/>
                <w:sz w:val="24"/>
                <w:szCs w:val="24"/>
                <w:lang w:val="en-US"/>
              </w:rPr>
            </w:pPr>
            <w:bookmarkStart w:id="1" w:name="_p07vaxgvzure" w:colFirst="0" w:colLast="0"/>
            <w:bookmarkEnd w:id="1"/>
            <w:r>
              <w:rPr>
                <w:rFonts w:ascii="Times New Roman" w:eastAsia="Times New Roman" w:hAnsi="Times New Roman" w:cs="Times New Roman"/>
                <w:color w:val="404040"/>
                <w:sz w:val="24"/>
                <w:szCs w:val="24"/>
                <w:highlight w:val="white"/>
              </w:rPr>
              <w:t>Количество</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аудиторных</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часов</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и</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часов</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самостоятельной</w:t>
            </w:r>
            <w:r w:rsidRPr="00EC62D1">
              <w:rPr>
                <w:rFonts w:ascii="Times New Roman" w:eastAsia="Times New Roman" w:hAnsi="Times New Roman" w:cs="Times New Roman"/>
                <w:color w:val="404040"/>
                <w:sz w:val="24"/>
                <w:szCs w:val="24"/>
                <w:highlight w:val="white"/>
                <w:lang w:val="en-US"/>
              </w:rPr>
              <w:t xml:space="preserve"> </w:t>
            </w:r>
            <w:r>
              <w:rPr>
                <w:rFonts w:ascii="Times New Roman" w:eastAsia="Times New Roman" w:hAnsi="Times New Roman" w:cs="Times New Roman"/>
                <w:color w:val="404040"/>
                <w:sz w:val="24"/>
                <w:szCs w:val="24"/>
                <w:highlight w:val="white"/>
              </w:rPr>
              <w:t>работы</w:t>
            </w:r>
            <w:r w:rsidRPr="00EC62D1">
              <w:rPr>
                <w:rFonts w:ascii="Times New Roman" w:eastAsia="Times New Roman" w:hAnsi="Times New Roman" w:cs="Times New Roman"/>
                <w:color w:val="404040"/>
                <w:sz w:val="24"/>
                <w:szCs w:val="24"/>
                <w:highlight w:val="white"/>
                <w:lang w:val="en-US"/>
              </w:rPr>
              <w:t xml:space="preserve"> / Academic hour of students class work, hours of self-directed learning</w:t>
            </w:r>
          </w:p>
        </w:tc>
        <w:tc>
          <w:tcPr>
            <w:tcW w:w="5042" w:type="dxa"/>
          </w:tcPr>
          <w:p w:rsidR="00193702" w:rsidRDefault="00D8146E">
            <w:pPr>
              <w:rPr>
                <w:rFonts w:ascii="Calibri" w:eastAsia="Calibri" w:hAnsi="Calibri" w:cs="Calibri"/>
              </w:rPr>
            </w:pPr>
            <w:r>
              <w:rPr>
                <w:rFonts w:ascii="Calibri" w:eastAsia="Calibri" w:hAnsi="Calibri" w:cs="Calibri"/>
              </w:rPr>
              <w:t>54/54</w:t>
            </w:r>
          </w:p>
        </w:tc>
        <w:tc>
          <w:tcPr>
            <w:tcW w:w="5042" w:type="dxa"/>
          </w:tcPr>
          <w:p w:rsidR="00193702" w:rsidRDefault="00D8146E">
            <w:pPr>
              <w:rPr>
                <w:rFonts w:ascii="Calibri" w:eastAsia="Calibri" w:hAnsi="Calibri" w:cs="Calibri"/>
              </w:rPr>
            </w:pPr>
            <w:r>
              <w:rPr>
                <w:rFonts w:ascii="Calibri" w:eastAsia="Calibri" w:hAnsi="Calibri" w:cs="Calibri"/>
              </w:rPr>
              <w:t>54/54</w:t>
            </w:r>
          </w:p>
        </w:tc>
      </w:tr>
      <w:tr w:rsidR="00193702">
        <w:tc>
          <w:tcPr>
            <w:tcW w:w="5042" w:type="dxa"/>
          </w:tcPr>
          <w:p w:rsidR="00193702" w:rsidRDefault="00D8146E">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w:t>
            </w:r>
            <w:r>
              <w:rPr>
                <w:rFonts w:ascii="Times New Roman" w:eastAsia="Times New Roman" w:hAnsi="Times New Roman" w:cs="Times New Roman"/>
                <w:sz w:val="24"/>
                <w:szCs w:val="24"/>
              </w:rPr>
              <w:t xml:space="preserve">ия и формы текущей и промежуточной аттестации / </w:t>
            </w:r>
          </w:p>
          <w:p w:rsidR="00193702" w:rsidRPr="00EC62D1" w:rsidRDefault="00D8146E">
            <w:pPr>
              <w:rPr>
                <w:rFonts w:ascii="Times New Roman" w:eastAsia="Times New Roman" w:hAnsi="Times New Roman" w:cs="Times New Roman"/>
                <w:sz w:val="24"/>
                <w:szCs w:val="24"/>
                <w:lang w:val="en-US"/>
              </w:rPr>
            </w:pPr>
            <w:r w:rsidRPr="00EC62D1">
              <w:rPr>
                <w:rFonts w:ascii="Times New Roman" w:eastAsia="Times New Roman" w:hAnsi="Times New Roman" w:cs="Times New Roman"/>
                <w:sz w:val="24"/>
                <w:szCs w:val="24"/>
                <w:lang w:val="en-US"/>
              </w:rPr>
              <w:t>Requirements and forms of current and interim certification</w:t>
            </w:r>
          </w:p>
        </w:tc>
        <w:tc>
          <w:tcPr>
            <w:tcW w:w="5042" w:type="dxa"/>
          </w:tcPr>
          <w:p w:rsidR="00193702" w:rsidRDefault="00D8146E">
            <w:pPr>
              <w:rPr>
                <w:rFonts w:ascii="Calibri" w:eastAsia="Calibri" w:hAnsi="Calibri" w:cs="Calibri"/>
              </w:rPr>
            </w:pPr>
            <w:r w:rsidRPr="00EC62D1">
              <w:rPr>
                <w:rFonts w:ascii="Calibri" w:eastAsia="Calibri" w:hAnsi="Calibri" w:cs="Calibri"/>
                <w:lang w:val="en-US"/>
              </w:rPr>
              <w:t xml:space="preserve"> </w:t>
            </w:r>
            <w:r>
              <w:rPr>
                <w:rFonts w:ascii="Calibri" w:eastAsia="Calibri" w:hAnsi="Calibri" w:cs="Calibri"/>
              </w:rPr>
              <w:t>ЭКЗАМЕН</w:t>
            </w:r>
          </w:p>
        </w:tc>
        <w:tc>
          <w:tcPr>
            <w:tcW w:w="5042" w:type="dxa"/>
          </w:tcPr>
          <w:p w:rsidR="00193702" w:rsidRDefault="00D8146E">
            <w:pPr>
              <w:rPr>
                <w:rFonts w:ascii="Calibri" w:eastAsia="Calibri" w:hAnsi="Calibri" w:cs="Calibri"/>
              </w:rPr>
            </w:pPr>
            <w:r>
              <w:rPr>
                <w:rFonts w:ascii="Calibri" w:eastAsia="Calibri" w:hAnsi="Calibri" w:cs="Calibri"/>
              </w:rPr>
              <w:t xml:space="preserve"> EXAM</w:t>
            </w:r>
          </w:p>
        </w:tc>
      </w:tr>
    </w:tbl>
    <w:p w:rsidR="00193702" w:rsidRDefault="00193702">
      <w:pPr>
        <w:spacing w:after="200"/>
      </w:pPr>
    </w:p>
    <w:sectPr w:rsidR="00193702" w:rsidSect="00EC62D1">
      <w:pgSz w:w="16834" w:h="11909" w:orient="landscape"/>
      <w:pgMar w:top="851" w:right="851" w:bottom="851"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02"/>
    <w:rsid w:val="00193702"/>
    <w:rsid w:val="00D8146E"/>
    <w:rsid w:val="00EC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8BB2"/>
  <w15:docId w15:val="{3DFE55A1-7217-4037-9E20-F4153B10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2025-06-29T21:40:00Z</dcterms:created>
  <dcterms:modified xsi:type="dcterms:W3CDTF">2025-06-29T21:40:00Z</dcterms:modified>
</cp:coreProperties>
</file>