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01B1" w14:textId="77777777" w:rsidR="00F952ED" w:rsidRDefault="00F952ED" w:rsidP="00F952ED">
      <w:pPr>
        <w:jc w:val="center"/>
        <w:rPr>
          <w:sz w:val="28"/>
          <w:szCs w:val="28"/>
        </w:rPr>
      </w:pPr>
      <w:r>
        <w:rPr>
          <w:sz w:val="28"/>
          <w:szCs w:val="28"/>
        </w:rPr>
        <w:t xml:space="preserve">1-33 01 07-01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spellStart"/>
      <w:r>
        <w:rPr>
          <w:sz w:val="28"/>
          <w:szCs w:val="28"/>
        </w:rPr>
        <w:t>экологический</w:t>
      </w:r>
      <w:proofErr w:type="spellEnd"/>
      <w:r>
        <w:rPr>
          <w:sz w:val="28"/>
          <w:szCs w:val="28"/>
        </w:rPr>
        <w:t xml:space="preserve"> </w:t>
      </w:r>
      <w:proofErr w:type="spellStart"/>
      <w:r>
        <w:rPr>
          <w:sz w:val="28"/>
          <w:szCs w:val="28"/>
        </w:rPr>
        <w:t>менеджмент</w:t>
      </w:r>
      <w:proofErr w:type="spellEnd"/>
      <w:r>
        <w:rPr>
          <w:sz w:val="28"/>
          <w:szCs w:val="28"/>
        </w:rPr>
        <w:t xml:space="preserve"> и </w:t>
      </w:r>
      <w:proofErr w:type="spellStart"/>
      <w:r>
        <w:rPr>
          <w:sz w:val="28"/>
          <w:szCs w:val="28"/>
        </w:rPr>
        <w:t>экспертиза</w:t>
      </w:r>
      <w:proofErr w:type="spellEnd"/>
      <w:r>
        <w:rPr>
          <w:sz w:val="28"/>
          <w:szCs w:val="28"/>
        </w:rPr>
        <w:t>) / 1-33 01 07-01 Environmental protection (environmental management and expertise)</w:t>
      </w:r>
    </w:p>
    <w:p w14:paraId="0C35D5A5" w14:textId="77777777" w:rsidR="00F952ED" w:rsidRDefault="00F952ED" w:rsidP="00F952ED">
      <w:pPr>
        <w:jc w:val="center"/>
        <w:rPr>
          <w:sz w:val="28"/>
          <w:szCs w:val="28"/>
        </w:rPr>
      </w:pPr>
      <w:r>
        <w:rPr>
          <w:sz w:val="28"/>
          <w:szCs w:val="28"/>
          <w:lang w:val="be-BY"/>
        </w:rPr>
        <w:t>Моделирование выбросов загрязяющих веществ в атмосферу и экологическая экспертиза</w:t>
      </w:r>
      <w:r>
        <w:rPr>
          <w:sz w:val="28"/>
          <w:szCs w:val="28"/>
        </w:rPr>
        <w:t xml:space="preserve">, </w:t>
      </w:r>
      <w:proofErr w:type="spellStart"/>
      <w:r>
        <w:rPr>
          <w:sz w:val="28"/>
          <w:szCs w:val="28"/>
        </w:rPr>
        <w:t>модуль</w:t>
      </w:r>
      <w:proofErr w:type="spellEnd"/>
      <w:r>
        <w:rPr>
          <w:sz w:val="28"/>
          <w:szCs w:val="28"/>
        </w:rPr>
        <w:t xml:space="preserve"> «</w:t>
      </w:r>
      <w:r>
        <w:rPr>
          <w:sz w:val="28"/>
          <w:szCs w:val="28"/>
          <w:lang w:val="be-BY"/>
        </w:rPr>
        <w:t>Экологический менеджмент - 2</w:t>
      </w:r>
      <w:r>
        <w:rPr>
          <w:sz w:val="28"/>
          <w:szCs w:val="28"/>
        </w:rPr>
        <w:t>» / Modeling of emissions of pollutants into the atmosphere and environmental assessment, module «Environmental Management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3"/>
        <w:gridCol w:w="3472"/>
        <w:gridCol w:w="3050"/>
      </w:tblGrid>
      <w:tr w:rsidR="00F952ED" w:rsidRPr="001C0D12" w14:paraId="45404EC0" w14:textId="77777777" w:rsidTr="00B42163">
        <w:tc>
          <w:tcPr>
            <w:tcW w:w="4853" w:type="dxa"/>
            <w:shd w:val="clear" w:color="auto" w:fill="auto"/>
          </w:tcPr>
          <w:p w14:paraId="0851D577" w14:textId="77777777" w:rsidR="00F952ED" w:rsidRPr="001C0D12" w:rsidRDefault="00F952ED"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4853" w:type="dxa"/>
            <w:shd w:val="clear" w:color="auto" w:fill="auto"/>
          </w:tcPr>
          <w:p w14:paraId="4676E463" w14:textId="77777777" w:rsidR="00F952ED" w:rsidRPr="001C0D12" w:rsidRDefault="00F952ED" w:rsidP="00B42163">
            <w:pPr>
              <w:autoSpaceDE w:val="0"/>
              <w:autoSpaceDN w:val="0"/>
              <w:jc w:val="both"/>
              <w:rPr>
                <w:iCs/>
                <w:sz w:val="28"/>
                <w:szCs w:val="28"/>
                <w:lang w:val="zh-CN"/>
              </w:rPr>
            </w:pPr>
            <w:r w:rsidRPr="001C0D12">
              <w:rPr>
                <w:iCs/>
                <w:sz w:val="28"/>
                <w:szCs w:val="28"/>
                <w:lang w:val="zh-CN"/>
              </w:rPr>
              <w:t>Моделирование выбросов загрязняющих веществ в атмосферу и экологическая экспертиза являются  одним из инструментов осуществления природоохранной политики Республики Беларусь в области охраны окружающей среды.  Необходимость уделять пристальное внимание экологическим факторам на раннем этапе принятия решений по реализации намечаемой хозяйственной деятельности определяет ту особую роль, которая отводится экологической экспертизе. Эта процедура направлена на определение видов воздействия, изменений в окружающей среде и устанавливает соответствие проектных решений требованиям природоохранного законодательства.</w:t>
            </w:r>
          </w:p>
        </w:tc>
        <w:tc>
          <w:tcPr>
            <w:tcW w:w="4854" w:type="dxa"/>
            <w:shd w:val="clear" w:color="auto" w:fill="auto"/>
          </w:tcPr>
          <w:p w14:paraId="5A247F9B" w14:textId="77777777" w:rsidR="00F952ED" w:rsidRPr="001C0D12" w:rsidRDefault="00F952ED" w:rsidP="00B42163">
            <w:pPr>
              <w:autoSpaceDE w:val="0"/>
              <w:autoSpaceDN w:val="0"/>
              <w:jc w:val="both"/>
              <w:rPr>
                <w:sz w:val="28"/>
                <w:szCs w:val="28"/>
                <w:highlight w:val="yellow"/>
              </w:rPr>
            </w:pPr>
            <w:r w:rsidRPr="001C0D12">
              <w:rPr>
                <w:sz w:val="28"/>
                <w:szCs w:val="28"/>
              </w:rPr>
              <w:t>Modeling of air pollutant emissions and environmental assessments are among the tools used to implement the Republic of Belarus's environmental policy. The need to pay close attention to environmental factors at an early stage of decision-making regarding the implementation of proposed economic activities determines the special role of environmental assessments. This procedure aims to identify impacts and changes in the environment and to establish the compliance of design solutions with environmental legislation.</w:t>
            </w:r>
          </w:p>
        </w:tc>
      </w:tr>
      <w:tr w:rsidR="00F952ED" w:rsidRPr="001C0D12" w14:paraId="2F9A9FF5" w14:textId="77777777" w:rsidTr="00B42163">
        <w:tc>
          <w:tcPr>
            <w:tcW w:w="4853" w:type="dxa"/>
            <w:shd w:val="clear" w:color="auto" w:fill="auto"/>
          </w:tcPr>
          <w:p w14:paraId="4F19F5BD" w14:textId="77777777" w:rsidR="00F952ED" w:rsidRPr="001C0D12" w:rsidRDefault="00F952ED"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4853" w:type="dxa"/>
            <w:shd w:val="clear" w:color="auto" w:fill="auto"/>
          </w:tcPr>
          <w:p w14:paraId="31F53345" w14:textId="77777777" w:rsidR="00F952ED" w:rsidRPr="001C0D12" w:rsidRDefault="00F952ED" w:rsidP="00B42163">
            <w:pPr>
              <w:autoSpaceDE w:val="0"/>
              <w:autoSpaceDN w:val="0"/>
              <w:jc w:val="both"/>
              <w:rPr>
                <w:sz w:val="28"/>
                <w:szCs w:val="28"/>
                <w:lang w:val="ru-RU"/>
              </w:rPr>
            </w:pPr>
            <w:r w:rsidRPr="001C0D12">
              <w:rPr>
                <w:sz w:val="28"/>
                <w:szCs w:val="28"/>
                <w:lang w:val="ru-RU"/>
              </w:rPr>
              <w:t>СК-28: применять программные методы проектирования и расчёта выбросов загрязняющих веществ от источников выбросов и моделировать их рассеивание в атмосфере.</w:t>
            </w:r>
          </w:p>
        </w:tc>
        <w:tc>
          <w:tcPr>
            <w:tcW w:w="4854" w:type="dxa"/>
            <w:shd w:val="clear" w:color="auto" w:fill="auto"/>
          </w:tcPr>
          <w:p w14:paraId="26BCAF37" w14:textId="77777777" w:rsidR="00F952ED" w:rsidRPr="001C0D12" w:rsidRDefault="00F952ED" w:rsidP="00B42163">
            <w:pPr>
              <w:autoSpaceDE w:val="0"/>
              <w:autoSpaceDN w:val="0"/>
              <w:jc w:val="both"/>
              <w:rPr>
                <w:sz w:val="28"/>
                <w:szCs w:val="28"/>
              </w:rPr>
            </w:pPr>
            <w:r w:rsidRPr="001C0D12">
              <w:rPr>
                <w:rFonts w:cs="Times PS"/>
                <w:sz w:val="28"/>
                <w:szCs w:val="28"/>
              </w:rPr>
              <w:t>СК-28: apply software methods for designing and calculating pollutant emissions from emission sources and simulate their dispersion in the atmosphere.</w:t>
            </w:r>
          </w:p>
        </w:tc>
      </w:tr>
      <w:tr w:rsidR="00F952ED" w:rsidRPr="001C0D12" w14:paraId="4A06CDCE" w14:textId="77777777" w:rsidTr="00B42163">
        <w:tc>
          <w:tcPr>
            <w:tcW w:w="4853" w:type="dxa"/>
            <w:shd w:val="clear" w:color="auto" w:fill="auto"/>
          </w:tcPr>
          <w:p w14:paraId="59F73EB6" w14:textId="77777777" w:rsidR="00F952ED" w:rsidRPr="001C0D12" w:rsidRDefault="00F952ED"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lastRenderedPageBreak/>
              <w:t>владеть</w:t>
            </w:r>
            <w:proofErr w:type="spellEnd"/>
            <w:r w:rsidRPr="001C0D12">
              <w:rPr>
                <w:sz w:val="28"/>
                <w:szCs w:val="28"/>
              </w:rPr>
              <w:t>) / Learning outcomes (know, can, be able)</w:t>
            </w:r>
          </w:p>
        </w:tc>
        <w:tc>
          <w:tcPr>
            <w:tcW w:w="4853" w:type="dxa"/>
            <w:shd w:val="clear" w:color="auto" w:fill="auto"/>
          </w:tcPr>
          <w:p w14:paraId="7D2DBB9B" w14:textId="77777777" w:rsidR="00F952ED" w:rsidRPr="001C0D12" w:rsidRDefault="00F952ED" w:rsidP="00B42163">
            <w:pPr>
              <w:autoSpaceDE w:val="0"/>
              <w:autoSpaceDN w:val="0"/>
              <w:rPr>
                <w:b/>
                <w:sz w:val="28"/>
                <w:szCs w:val="28"/>
              </w:rPr>
            </w:pPr>
            <w:proofErr w:type="spellStart"/>
            <w:r w:rsidRPr="001C0D12">
              <w:rPr>
                <w:b/>
                <w:sz w:val="28"/>
                <w:szCs w:val="28"/>
              </w:rPr>
              <w:lastRenderedPageBreak/>
              <w:t>знать</w:t>
            </w:r>
            <w:proofErr w:type="spellEnd"/>
            <w:r w:rsidRPr="001C0D12">
              <w:rPr>
                <w:b/>
                <w:sz w:val="28"/>
                <w:szCs w:val="28"/>
              </w:rPr>
              <w:t>:</w:t>
            </w:r>
          </w:p>
          <w:p w14:paraId="5E83344D"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lastRenderedPageBreak/>
              <w:t>природоохранные требования к размещению объектов хозяйственной и иной деятельности в Республике Беларусь;</w:t>
            </w:r>
          </w:p>
          <w:p w14:paraId="6A7A45B6" w14:textId="77777777" w:rsidR="00F952ED" w:rsidRPr="001C0D12" w:rsidRDefault="00F952ED" w:rsidP="00F952ED">
            <w:pPr>
              <w:numPr>
                <w:ilvl w:val="0"/>
                <w:numId w:val="1"/>
              </w:numPr>
              <w:autoSpaceDE w:val="0"/>
              <w:autoSpaceDN w:val="0"/>
              <w:ind w:left="22" w:hanging="22"/>
              <w:jc w:val="both"/>
              <w:rPr>
                <w:rFonts w:cs="Times PS"/>
                <w:sz w:val="28"/>
                <w:szCs w:val="28"/>
              </w:rPr>
            </w:pPr>
            <w:proofErr w:type="spellStart"/>
            <w:r w:rsidRPr="001C0D12">
              <w:rPr>
                <w:rFonts w:cs="Times PS"/>
                <w:sz w:val="28"/>
                <w:szCs w:val="28"/>
              </w:rPr>
              <w:t>порядок</w:t>
            </w:r>
            <w:proofErr w:type="spellEnd"/>
            <w:r w:rsidRPr="001C0D12">
              <w:rPr>
                <w:rFonts w:cs="Times PS"/>
                <w:sz w:val="28"/>
                <w:szCs w:val="28"/>
              </w:rPr>
              <w:t xml:space="preserve"> </w:t>
            </w:r>
            <w:proofErr w:type="spellStart"/>
            <w:r w:rsidRPr="001C0D12">
              <w:rPr>
                <w:rFonts w:cs="Times PS"/>
                <w:sz w:val="28"/>
                <w:szCs w:val="28"/>
              </w:rPr>
              <w:t>проведения</w:t>
            </w:r>
            <w:proofErr w:type="spellEnd"/>
            <w:r w:rsidRPr="001C0D12">
              <w:rPr>
                <w:rFonts w:cs="Times PS"/>
                <w:sz w:val="28"/>
                <w:szCs w:val="28"/>
              </w:rPr>
              <w:t xml:space="preserve"> </w:t>
            </w:r>
            <w:proofErr w:type="spellStart"/>
            <w:r w:rsidRPr="001C0D12">
              <w:rPr>
                <w:rFonts w:cs="Times PS"/>
                <w:sz w:val="28"/>
                <w:szCs w:val="28"/>
              </w:rPr>
              <w:t>экологической</w:t>
            </w:r>
            <w:proofErr w:type="spellEnd"/>
            <w:r w:rsidRPr="001C0D12">
              <w:rPr>
                <w:rFonts w:cs="Times PS"/>
                <w:sz w:val="28"/>
                <w:szCs w:val="28"/>
              </w:rPr>
              <w:t xml:space="preserve"> </w:t>
            </w:r>
            <w:proofErr w:type="spellStart"/>
            <w:r w:rsidRPr="001C0D12">
              <w:rPr>
                <w:rFonts w:cs="Times PS"/>
                <w:sz w:val="28"/>
                <w:szCs w:val="28"/>
              </w:rPr>
              <w:t>экспертизы</w:t>
            </w:r>
            <w:proofErr w:type="spellEnd"/>
            <w:r w:rsidRPr="001C0D12">
              <w:rPr>
                <w:rFonts w:cs="Times PS"/>
                <w:sz w:val="28"/>
                <w:szCs w:val="28"/>
              </w:rPr>
              <w:t>;</w:t>
            </w:r>
          </w:p>
          <w:p w14:paraId="6FD14BDA"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нормативные требования к составу проектной и иной документации, представляемой на экспертизу;</w:t>
            </w:r>
          </w:p>
          <w:p w14:paraId="4B57EA3F"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порядок формирования экспертных комиссий и осуществления их деятельности;</w:t>
            </w:r>
          </w:p>
          <w:p w14:paraId="06C25D10"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порядок оформления заключения государственной экологической экспертизы и общественной экологической экспертизы;</w:t>
            </w:r>
          </w:p>
          <w:p w14:paraId="6978F10C"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порядок приемки объектов в эксплуатацию.</w:t>
            </w:r>
          </w:p>
          <w:p w14:paraId="5FC44913" w14:textId="77777777" w:rsidR="00F952ED" w:rsidRPr="001C0D12" w:rsidRDefault="00F952ED" w:rsidP="00B42163">
            <w:pPr>
              <w:autoSpaceDE w:val="0"/>
              <w:autoSpaceDN w:val="0"/>
              <w:rPr>
                <w:sz w:val="28"/>
                <w:szCs w:val="28"/>
              </w:rPr>
            </w:pPr>
            <w:proofErr w:type="spellStart"/>
            <w:r w:rsidRPr="001C0D12">
              <w:rPr>
                <w:b/>
                <w:sz w:val="28"/>
                <w:szCs w:val="28"/>
              </w:rPr>
              <w:t>уметь</w:t>
            </w:r>
            <w:proofErr w:type="spellEnd"/>
            <w:r w:rsidRPr="001C0D12">
              <w:rPr>
                <w:sz w:val="28"/>
                <w:szCs w:val="28"/>
              </w:rPr>
              <w:t>:</w:t>
            </w:r>
          </w:p>
          <w:p w14:paraId="08345771"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принимать в соответствии с компетенцией проектную или иную документацию на государственную экологическую экспертизу;</w:t>
            </w:r>
          </w:p>
          <w:p w14:paraId="5B0B2EFD"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проводить государственную экологическую экспертизу проектной и иной документации;</w:t>
            </w:r>
          </w:p>
          <w:p w14:paraId="57168ECE"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 xml:space="preserve">оформлять заключение государственной и общественной </w:t>
            </w:r>
            <w:r w:rsidRPr="001C0D12">
              <w:rPr>
                <w:rFonts w:cs="Times PS"/>
                <w:sz w:val="28"/>
                <w:szCs w:val="28"/>
                <w:lang w:val="ru-RU"/>
              </w:rPr>
              <w:lastRenderedPageBreak/>
              <w:t>экологической экспертизы;</w:t>
            </w:r>
          </w:p>
          <w:p w14:paraId="17714816" w14:textId="77777777" w:rsidR="00F952ED" w:rsidRPr="001C0D12" w:rsidRDefault="00F952ED" w:rsidP="00F952ED">
            <w:pPr>
              <w:numPr>
                <w:ilvl w:val="0"/>
                <w:numId w:val="1"/>
              </w:numPr>
              <w:autoSpaceDE w:val="0"/>
              <w:autoSpaceDN w:val="0"/>
              <w:ind w:left="22" w:hanging="22"/>
              <w:jc w:val="both"/>
              <w:rPr>
                <w:rFonts w:cs="Times PS"/>
                <w:sz w:val="28"/>
                <w:szCs w:val="28"/>
                <w:lang w:val="ru-RU"/>
              </w:rPr>
            </w:pPr>
            <w:r w:rsidRPr="001C0D12">
              <w:rPr>
                <w:rFonts w:cs="Times PS"/>
                <w:sz w:val="28"/>
                <w:szCs w:val="28"/>
                <w:lang w:val="ru-RU"/>
              </w:rPr>
              <w:t>составлять экологический паспорт организации (проектную часть).</w:t>
            </w:r>
          </w:p>
          <w:p w14:paraId="6FE71FE6" w14:textId="77777777" w:rsidR="00F952ED" w:rsidRPr="001C0D12" w:rsidRDefault="00F952ED" w:rsidP="00B42163">
            <w:pPr>
              <w:autoSpaceDE w:val="0"/>
              <w:autoSpaceDN w:val="0"/>
              <w:rPr>
                <w:sz w:val="28"/>
                <w:szCs w:val="28"/>
              </w:rPr>
            </w:pPr>
            <w:proofErr w:type="spellStart"/>
            <w:r w:rsidRPr="001C0D12">
              <w:rPr>
                <w:b/>
                <w:sz w:val="28"/>
                <w:szCs w:val="28"/>
              </w:rPr>
              <w:t>владеть</w:t>
            </w:r>
            <w:proofErr w:type="spellEnd"/>
            <w:r w:rsidRPr="001C0D12">
              <w:rPr>
                <w:sz w:val="28"/>
                <w:szCs w:val="28"/>
              </w:rPr>
              <w:t xml:space="preserve">: </w:t>
            </w:r>
          </w:p>
          <w:p w14:paraId="10BFA555" w14:textId="77777777" w:rsidR="00F952ED" w:rsidRPr="001C0D12" w:rsidRDefault="00F952ED" w:rsidP="00F952ED">
            <w:pPr>
              <w:numPr>
                <w:ilvl w:val="0"/>
                <w:numId w:val="1"/>
              </w:numPr>
              <w:autoSpaceDE w:val="0"/>
              <w:autoSpaceDN w:val="0"/>
              <w:ind w:left="22" w:hanging="22"/>
              <w:jc w:val="both"/>
              <w:rPr>
                <w:sz w:val="28"/>
                <w:szCs w:val="28"/>
                <w:lang w:val="ru-RU"/>
              </w:rPr>
            </w:pPr>
            <w:r w:rsidRPr="001C0D12">
              <w:rPr>
                <w:rFonts w:cs="Times PS"/>
                <w:sz w:val="28"/>
                <w:szCs w:val="28"/>
                <w:lang w:val="ru-RU"/>
              </w:rPr>
              <w:t>навыками проведения государственной и общественной экологической экспертизы.</w:t>
            </w:r>
          </w:p>
        </w:tc>
        <w:tc>
          <w:tcPr>
            <w:tcW w:w="4854" w:type="dxa"/>
            <w:shd w:val="clear" w:color="auto" w:fill="auto"/>
          </w:tcPr>
          <w:p w14:paraId="23365B36" w14:textId="77777777" w:rsidR="00F952ED" w:rsidRPr="001C0D12" w:rsidRDefault="00F952ED" w:rsidP="00B42163">
            <w:pPr>
              <w:autoSpaceDE w:val="0"/>
              <w:autoSpaceDN w:val="0"/>
              <w:rPr>
                <w:rFonts w:cs="Times PS"/>
                <w:b/>
                <w:bCs/>
                <w:sz w:val="28"/>
                <w:szCs w:val="28"/>
              </w:rPr>
            </w:pPr>
            <w:r w:rsidRPr="001C0D12">
              <w:rPr>
                <w:rFonts w:cs="Times PS"/>
                <w:b/>
                <w:bCs/>
                <w:sz w:val="28"/>
                <w:szCs w:val="28"/>
              </w:rPr>
              <w:lastRenderedPageBreak/>
              <w:t>know:</w:t>
            </w:r>
          </w:p>
          <w:p w14:paraId="7755FC55"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lastRenderedPageBreak/>
              <w:t>environmental requirements for the location of economic and other activities in the Republic of Belarus;</w:t>
            </w:r>
          </w:p>
          <w:p w14:paraId="38BE414A"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the procedure for conducting an environmental assessment;</w:t>
            </w:r>
          </w:p>
          <w:p w14:paraId="75DB89D3"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regulatory requirements for the composition of project and other documentation submitted for examination;</w:t>
            </w:r>
          </w:p>
          <w:p w14:paraId="02434A9C"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the procedure for the formation of expert commissions and the implementation of their activities;</w:t>
            </w:r>
          </w:p>
          <w:p w14:paraId="6A91E5F6"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the procedure for issuing the conclusion of the state environmental assessment and public environmental assessment;</w:t>
            </w:r>
          </w:p>
          <w:p w14:paraId="7A2FFD69"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the order of acceptance of facilities into operation.</w:t>
            </w:r>
          </w:p>
          <w:p w14:paraId="1E199D55" w14:textId="77777777" w:rsidR="00F952ED" w:rsidRPr="001C0D12" w:rsidRDefault="00F952ED" w:rsidP="00B42163">
            <w:pPr>
              <w:autoSpaceDE w:val="0"/>
              <w:autoSpaceDN w:val="0"/>
              <w:rPr>
                <w:rFonts w:cs="Times PS"/>
                <w:b/>
                <w:bCs/>
                <w:sz w:val="28"/>
                <w:szCs w:val="28"/>
              </w:rPr>
            </w:pPr>
            <w:r w:rsidRPr="001C0D12">
              <w:rPr>
                <w:rFonts w:cs="Times PS"/>
                <w:b/>
                <w:bCs/>
                <w:sz w:val="28"/>
                <w:szCs w:val="28"/>
              </w:rPr>
              <w:t>be able to:</w:t>
            </w:r>
          </w:p>
          <w:p w14:paraId="57B586D7"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to accept, in accordance with the competence, project or other documentation for the state environmental expertise;</w:t>
            </w:r>
          </w:p>
          <w:p w14:paraId="6A02D273"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carry out state environmental expertise of project and other documentation;</w:t>
            </w:r>
          </w:p>
          <w:p w14:paraId="095078A5"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to draw up the conclusion of the state and public environmental expertise;</w:t>
            </w:r>
          </w:p>
          <w:p w14:paraId="6F3116DF" w14:textId="77777777" w:rsidR="00F952ED" w:rsidRPr="00F952ED"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lastRenderedPageBreak/>
              <w:t>draw up an environmental passport of the organization (project part).</w:t>
            </w:r>
          </w:p>
          <w:p w14:paraId="49476D69" w14:textId="77777777" w:rsidR="00F952ED" w:rsidRPr="001C0D12" w:rsidRDefault="00F952ED" w:rsidP="00B42163">
            <w:pPr>
              <w:autoSpaceDE w:val="0"/>
              <w:autoSpaceDN w:val="0"/>
              <w:rPr>
                <w:rFonts w:cs="Times PS"/>
                <w:b/>
                <w:bCs/>
                <w:sz w:val="28"/>
                <w:szCs w:val="28"/>
              </w:rPr>
            </w:pPr>
            <w:r w:rsidRPr="001C0D12">
              <w:rPr>
                <w:rFonts w:cs="Times PS"/>
                <w:b/>
                <w:bCs/>
                <w:sz w:val="28"/>
                <w:szCs w:val="28"/>
              </w:rPr>
              <w:t>be proficient in:</w:t>
            </w:r>
          </w:p>
          <w:p w14:paraId="543D2D7C" w14:textId="77777777" w:rsidR="00F952ED" w:rsidRPr="001C0D12" w:rsidRDefault="00F952ED" w:rsidP="00F952ED">
            <w:pPr>
              <w:numPr>
                <w:ilvl w:val="0"/>
                <w:numId w:val="1"/>
              </w:numPr>
              <w:autoSpaceDE w:val="0"/>
              <w:autoSpaceDN w:val="0"/>
              <w:ind w:left="22" w:hanging="22"/>
              <w:jc w:val="both"/>
              <w:rPr>
                <w:rFonts w:cs="Times PS"/>
                <w:sz w:val="28"/>
                <w:szCs w:val="28"/>
              </w:rPr>
            </w:pPr>
            <w:r w:rsidRPr="00F952ED">
              <w:rPr>
                <w:rFonts w:cs="Times PS"/>
                <w:sz w:val="28"/>
                <w:szCs w:val="28"/>
              </w:rPr>
              <w:t>skills of conducting state and public environmental expertise.</w:t>
            </w:r>
          </w:p>
        </w:tc>
      </w:tr>
      <w:tr w:rsidR="00F952ED" w:rsidRPr="001C0D12" w14:paraId="0BCC612E" w14:textId="77777777" w:rsidTr="00B42163">
        <w:trPr>
          <w:trHeight w:val="982"/>
        </w:trPr>
        <w:tc>
          <w:tcPr>
            <w:tcW w:w="4853" w:type="dxa"/>
            <w:shd w:val="clear" w:color="auto" w:fill="auto"/>
          </w:tcPr>
          <w:p w14:paraId="021236ED" w14:textId="77777777" w:rsidR="00F952ED" w:rsidRPr="001C0D12" w:rsidRDefault="00F952ED"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4853" w:type="dxa"/>
            <w:shd w:val="clear" w:color="auto" w:fill="auto"/>
          </w:tcPr>
          <w:p w14:paraId="0FD1C278" w14:textId="77777777" w:rsidR="00F952ED" w:rsidRPr="001C0D12" w:rsidRDefault="00F952ED" w:rsidP="00B42163">
            <w:pPr>
              <w:autoSpaceDE w:val="0"/>
              <w:autoSpaceDN w:val="0"/>
              <w:rPr>
                <w:sz w:val="28"/>
                <w:szCs w:val="28"/>
              </w:rPr>
            </w:pPr>
            <w:r w:rsidRPr="001C0D12">
              <w:rPr>
                <w:sz w:val="28"/>
                <w:szCs w:val="28"/>
              </w:rPr>
              <w:t xml:space="preserve">7 </w:t>
            </w:r>
            <w:proofErr w:type="spellStart"/>
            <w:r w:rsidRPr="001C0D12">
              <w:rPr>
                <w:sz w:val="28"/>
                <w:szCs w:val="28"/>
              </w:rPr>
              <w:t>семестр</w:t>
            </w:r>
            <w:proofErr w:type="spellEnd"/>
            <w:r w:rsidRPr="001C0D12">
              <w:rPr>
                <w:sz w:val="28"/>
                <w:szCs w:val="28"/>
              </w:rPr>
              <w:t xml:space="preserve"> </w:t>
            </w:r>
          </w:p>
        </w:tc>
        <w:tc>
          <w:tcPr>
            <w:tcW w:w="4854" w:type="dxa"/>
            <w:shd w:val="clear" w:color="auto" w:fill="auto"/>
          </w:tcPr>
          <w:p w14:paraId="7D1E3B0D" w14:textId="77777777" w:rsidR="00F952ED" w:rsidRPr="001C0D12" w:rsidRDefault="00F952ED" w:rsidP="00B42163">
            <w:pPr>
              <w:autoSpaceDE w:val="0"/>
              <w:autoSpaceDN w:val="0"/>
              <w:rPr>
                <w:sz w:val="28"/>
                <w:szCs w:val="28"/>
              </w:rPr>
            </w:pPr>
            <w:r w:rsidRPr="001C0D12">
              <w:rPr>
                <w:rFonts w:cs="Times PS"/>
                <w:sz w:val="28"/>
                <w:szCs w:val="28"/>
              </w:rPr>
              <w:t xml:space="preserve">7 </w:t>
            </w:r>
            <w:proofErr w:type="gramStart"/>
            <w:r w:rsidRPr="001C0D12">
              <w:rPr>
                <w:rFonts w:cs="Times PS"/>
                <w:sz w:val="28"/>
                <w:szCs w:val="28"/>
              </w:rPr>
              <w:t>semester</w:t>
            </w:r>
            <w:proofErr w:type="gramEnd"/>
            <w:r w:rsidRPr="001C0D12">
              <w:rPr>
                <w:rFonts w:cs="Times PS"/>
                <w:sz w:val="28"/>
                <w:szCs w:val="28"/>
              </w:rPr>
              <w:t xml:space="preserve"> </w:t>
            </w:r>
          </w:p>
        </w:tc>
      </w:tr>
      <w:tr w:rsidR="00F952ED" w:rsidRPr="001C0D12" w14:paraId="2ABA82B3" w14:textId="77777777" w:rsidTr="00B42163">
        <w:tc>
          <w:tcPr>
            <w:tcW w:w="4853" w:type="dxa"/>
            <w:shd w:val="clear" w:color="auto" w:fill="auto"/>
          </w:tcPr>
          <w:p w14:paraId="3AB8D423" w14:textId="77777777" w:rsidR="00F952ED" w:rsidRPr="001C0D12" w:rsidRDefault="00F952ED"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4853" w:type="dxa"/>
            <w:shd w:val="clear" w:color="auto" w:fill="auto"/>
          </w:tcPr>
          <w:p w14:paraId="5FAF25EB" w14:textId="77777777" w:rsidR="00F952ED" w:rsidRPr="001C0D12" w:rsidRDefault="00F952ED" w:rsidP="00B42163">
            <w:pPr>
              <w:autoSpaceDE w:val="0"/>
              <w:autoSpaceDN w:val="0"/>
              <w:rPr>
                <w:sz w:val="28"/>
                <w:szCs w:val="28"/>
                <w:lang w:val="ru-RU"/>
              </w:rPr>
            </w:pPr>
            <w:r w:rsidRPr="001C0D12">
              <w:rPr>
                <w:sz w:val="28"/>
                <w:szCs w:val="28"/>
                <w:lang w:val="ru-RU"/>
              </w:rPr>
              <w:t>«Основы стандартизации, метрологии и сертификации»; «Оценка воздействия на окружающую среду»; «Статистические методы обработки данных в экологии».</w:t>
            </w:r>
          </w:p>
        </w:tc>
        <w:tc>
          <w:tcPr>
            <w:tcW w:w="4854" w:type="dxa"/>
            <w:shd w:val="clear" w:color="auto" w:fill="auto"/>
          </w:tcPr>
          <w:p w14:paraId="5D4E9517" w14:textId="77777777" w:rsidR="00F952ED" w:rsidRPr="001C0D12" w:rsidRDefault="00F952ED" w:rsidP="00B42163">
            <w:pPr>
              <w:autoSpaceDE w:val="0"/>
              <w:autoSpaceDN w:val="0"/>
              <w:rPr>
                <w:sz w:val="28"/>
                <w:szCs w:val="28"/>
              </w:rPr>
            </w:pPr>
            <w:r w:rsidRPr="001C0D12">
              <w:rPr>
                <w:rFonts w:cs="Times PS"/>
                <w:sz w:val="28"/>
                <w:szCs w:val="28"/>
              </w:rPr>
              <w:t>«Fundamentals of standardization, metrology and certification»; «Environmental impact assessment»; «Statistical methods of data processing in ecology».</w:t>
            </w:r>
          </w:p>
        </w:tc>
      </w:tr>
      <w:tr w:rsidR="00F952ED" w:rsidRPr="001C0D12" w14:paraId="6208056B" w14:textId="77777777" w:rsidTr="00B42163">
        <w:tc>
          <w:tcPr>
            <w:tcW w:w="4853" w:type="dxa"/>
            <w:shd w:val="clear" w:color="auto" w:fill="auto"/>
          </w:tcPr>
          <w:p w14:paraId="5034E3B8" w14:textId="77777777" w:rsidR="00F952ED" w:rsidRPr="001C0D12" w:rsidRDefault="00F952ED"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4853" w:type="dxa"/>
            <w:shd w:val="clear" w:color="auto" w:fill="auto"/>
          </w:tcPr>
          <w:p w14:paraId="1810E9C1" w14:textId="77777777" w:rsidR="00F952ED" w:rsidRPr="001C0D12" w:rsidRDefault="00F952ED" w:rsidP="00B42163">
            <w:pPr>
              <w:autoSpaceDE w:val="0"/>
              <w:autoSpaceDN w:val="0"/>
              <w:rPr>
                <w:sz w:val="28"/>
                <w:szCs w:val="28"/>
              </w:rPr>
            </w:pPr>
            <w:r w:rsidRPr="001C0D12">
              <w:rPr>
                <w:iCs/>
                <w:sz w:val="28"/>
                <w:szCs w:val="28"/>
              </w:rPr>
              <w:t>6</w:t>
            </w:r>
          </w:p>
        </w:tc>
        <w:tc>
          <w:tcPr>
            <w:tcW w:w="4854" w:type="dxa"/>
            <w:shd w:val="clear" w:color="auto" w:fill="auto"/>
          </w:tcPr>
          <w:p w14:paraId="5BE457C5" w14:textId="77777777" w:rsidR="00F952ED" w:rsidRPr="001C0D12" w:rsidRDefault="00F952ED" w:rsidP="00B42163">
            <w:pPr>
              <w:autoSpaceDE w:val="0"/>
              <w:autoSpaceDN w:val="0"/>
              <w:rPr>
                <w:sz w:val="28"/>
                <w:szCs w:val="28"/>
              </w:rPr>
            </w:pPr>
            <w:r w:rsidRPr="001C0D12">
              <w:rPr>
                <w:sz w:val="28"/>
                <w:szCs w:val="28"/>
              </w:rPr>
              <w:t xml:space="preserve">6 </w:t>
            </w:r>
          </w:p>
        </w:tc>
      </w:tr>
      <w:tr w:rsidR="00F952ED" w:rsidRPr="001C0D12" w14:paraId="280B9289" w14:textId="77777777" w:rsidTr="00B42163">
        <w:tc>
          <w:tcPr>
            <w:tcW w:w="4853" w:type="dxa"/>
            <w:shd w:val="clear" w:color="auto" w:fill="auto"/>
          </w:tcPr>
          <w:p w14:paraId="68C4C671" w14:textId="77777777" w:rsidR="00F952ED" w:rsidRPr="001C0D12" w:rsidRDefault="00F952ED"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5FFDBE75" w14:textId="77777777" w:rsidR="00F952ED" w:rsidRPr="001C0D12" w:rsidRDefault="00F952ED" w:rsidP="00B42163">
            <w:pPr>
              <w:autoSpaceDE w:val="0"/>
              <w:autoSpaceDN w:val="0"/>
              <w:rPr>
                <w:sz w:val="28"/>
                <w:szCs w:val="28"/>
              </w:rPr>
            </w:pPr>
            <w:r w:rsidRPr="001C0D12">
              <w:rPr>
                <w:sz w:val="28"/>
                <w:szCs w:val="28"/>
              </w:rPr>
              <w:t>hours of self-directed learning</w:t>
            </w:r>
          </w:p>
        </w:tc>
        <w:tc>
          <w:tcPr>
            <w:tcW w:w="4853" w:type="dxa"/>
            <w:shd w:val="clear" w:color="auto" w:fill="auto"/>
          </w:tcPr>
          <w:p w14:paraId="24806D71" w14:textId="77777777" w:rsidR="00F952ED" w:rsidRPr="001C0D12" w:rsidRDefault="00F952ED" w:rsidP="00B42163">
            <w:pPr>
              <w:autoSpaceDE w:val="0"/>
              <w:autoSpaceDN w:val="0"/>
              <w:rPr>
                <w:i/>
                <w:sz w:val="28"/>
                <w:szCs w:val="28"/>
              </w:rPr>
            </w:pPr>
            <w:r w:rsidRPr="001C0D12">
              <w:rPr>
                <w:sz w:val="28"/>
                <w:szCs w:val="28"/>
              </w:rPr>
              <w:t>216 / 80</w:t>
            </w:r>
          </w:p>
        </w:tc>
        <w:tc>
          <w:tcPr>
            <w:tcW w:w="4854" w:type="dxa"/>
            <w:shd w:val="clear" w:color="auto" w:fill="auto"/>
          </w:tcPr>
          <w:p w14:paraId="6DF340D8" w14:textId="77777777" w:rsidR="00F952ED" w:rsidRPr="001C0D12" w:rsidRDefault="00F952ED" w:rsidP="00B42163">
            <w:pPr>
              <w:autoSpaceDE w:val="0"/>
              <w:autoSpaceDN w:val="0"/>
              <w:rPr>
                <w:sz w:val="28"/>
                <w:szCs w:val="28"/>
              </w:rPr>
            </w:pPr>
            <w:r w:rsidRPr="001C0D12">
              <w:rPr>
                <w:sz w:val="28"/>
                <w:szCs w:val="28"/>
              </w:rPr>
              <w:t>216 / 80</w:t>
            </w:r>
          </w:p>
        </w:tc>
      </w:tr>
      <w:tr w:rsidR="00F952ED" w:rsidRPr="001C0D12" w14:paraId="1BAC138C" w14:textId="77777777" w:rsidTr="00B42163">
        <w:tc>
          <w:tcPr>
            <w:tcW w:w="4853" w:type="dxa"/>
            <w:shd w:val="clear" w:color="auto" w:fill="auto"/>
          </w:tcPr>
          <w:p w14:paraId="5F01532E" w14:textId="77777777" w:rsidR="00F952ED" w:rsidRPr="001C0D12" w:rsidRDefault="00F952ED"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4853" w:type="dxa"/>
            <w:shd w:val="clear" w:color="auto" w:fill="auto"/>
          </w:tcPr>
          <w:p w14:paraId="50E0FB81" w14:textId="77777777" w:rsidR="00F952ED" w:rsidRPr="001C0D12" w:rsidRDefault="00F952ED" w:rsidP="00B42163">
            <w:pPr>
              <w:autoSpaceDE w:val="0"/>
              <w:autoSpaceDN w:val="0"/>
              <w:rPr>
                <w:sz w:val="28"/>
                <w:szCs w:val="28"/>
              </w:rPr>
            </w:pPr>
            <w:proofErr w:type="spellStart"/>
            <w:r w:rsidRPr="001C0D12">
              <w:rPr>
                <w:sz w:val="28"/>
                <w:szCs w:val="28"/>
              </w:rPr>
              <w:t>Экзамен</w:t>
            </w:r>
            <w:proofErr w:type="spellEnd"/>
          </w:p>
        </w:tc>
        <w:tc>
          <w:tcPr>
            <w:tcW w:w="4854" w:type="dxa"/>
            <w:shd w:val="clear" w:color="auto" w:fill="auto"/>
          </w:tcPr>
          <w:p w14:paraId="621D5E00" w14:textId="77777777" w:rsidR="00F952ED" w:rsidRPr="001C0D12" w:rsidRDefault="00F952ED" w:rsidP="00B42163">
            <w:pPr>
              <w:autoSpaceDE w:val="0"/>
              <w:autoSpaceDN w:val="0"/>
              <w:rPr>
                <w:sz w:val="28"/>
                <w:szCs w:val="28"/>
              </w:rPr>
            </w:pPr>
            <w:r w:rsidRPr="001C0D12">
              <w:rPr>
                <w:sz w:val="28"/>
                <w:szCs w:val="28"/>
              </w:rPr>
              <w:t>Exam</w:t>
            </w:r>
          </w:p>
        </w:tc>
      </w:tr>
    </w:tbl>
    <w:p w14:paraId="3376AAC4" w14:textId="77777777" w:rsidR="00F952ED" w:rsidRDefault="00F952ED" w:rsidP="00F952ED"/>
    <w:p w14:paraId="6A81F0ED" w14:textId="77777777" w:rsidR="00F952ED" w:rsidRDefault="00F952ED" w:rsidP="00F952ED"/>
    <w:p w14:paraId="16049821" w14:textId="77777777" w:rsidR="00F952ED" w:rsidRDefault="00F952ED" w:rsidP="00F952ED"/>
    <w:p w14:paraId="494CF045" w14:textId="77777777" w:rsidR="00F952ED" w:rsidRDefault="00F952ED" w:rsidP="00F952ED"/>
    <w:p w14:paraId="099C2343"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452C"/>
    <w:multiLevelType w:val="hybridMultilevel"/>
    <w:tmpl w:val="CCBAA09E"/>
    <w:lvl w:ilvl="0" w:tplc="159A749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CB"/>
    <w:rsid w:val="00175965"/>
    <w:rsid w:val="00374CEE"/>
    <w:rsid w:val="00731EC8"/>
    <w:rsid w:val="009F3A57"/>
    <w:rsid w:val="00E541CB"/>
    <w:rsid w:val="00F9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DBD4"/>
  <w15:chartTrackingRefBased/>
  <w15:docId w15:val="{5678160B-414C-4A36-9AC9-1AA8D6EB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2ED"/>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2025-11-25T14:10:00Z</dcterms:created>
  <dcterms:modified xsi:type="dcterms:W3CDTF">2025-11-25T14:10:00Z</dcterms:modified>
</cp:coreProperties>
</file>