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6EDF4" w14:textId="77777777" w:rsidR="009D72EC" w:rsidRPr="009D72EC" w:rsidRDefault="009D72EC" w:rsidP="00577A0C">
      <w:pPr>
        <w:pStyle w:val="Default"/>
        <w:rPr>
          <w:color w:val="auto"/>
          <w:sz w:val="28"/>
          <w:szCs w:val="28"/>
          <w:lang w:val="en-US"/>
        </w:rPr>
      </w:pPr>
      <w:r w:rsidRPr="009D72EC">
        <w:rPr>
          <w:color w:val="auto"/>
          <w:sz w:val="28"/>
          <w:szCs w:val="28"/>
          <w:lang w:val="en-US"/>
        </w:rPr>
        <w:t xml:space="preserve">6-05-0511-04 </w:t>
      </w:r>
      <w:r w:rsidRPr="009D72EC">
        <w:rPr>
          <w:color w:val="auto"/>
          <w:sz w:val="28"/>
          <w:szCs w:val="28"/>
        </w:rPr>
        <w:t>Медико</w:t>
      </w:r>
      <w:r w:rsidRPr="009D72EC">
        <w:rPr>
          <w:color w:val="auto"/>
          <w:sz w:val="28"/>
          <w:szCs w:val="28"/>
          <w:lang w:val="en-US"/>
        </w:rPr>
        <w:t>-</w:t>
      </w:r>
      <w:r w:rsidRPr="009D72EC">
        <w:rPr>
          <w:color w:val="auto"/>
          <w:sz w:val="28"/>
          <w:szCs w:val="28"/>
        </w:rPr>
        <w:t>биологическое</w:t>
      </w:r>
      <w:r w:rsidRPr="009D72EC">
        <w:rPr>
          <w:color w:val="auto"/>
          <w:sz w:val="28"/>
          <w:szCs w:val="28"/>
          <w:lang w:val="en-US"/>
        </w:rPr>
        <w:t xml:space="preserve"> </w:t>
      </w:r>
      <w:r w:rsidRPr="009D72EC">
        <w:rPr>
          <w:color w:val="auto"/>
          <w:sz w:val="28"/>
          <w:szCs w:val="28"/>
        </w:rPr>
        <w:t>дело</w:t>
      </w:r>
      <w:r w:rsidRPr="009D72EC">
        <w:rPr>
          <w:color w:val="auto"/>
          <w:sz w:val="28"/>
          <w:szCs w:val="28"/>
          <w:lang w:val="en-US"/>
        </w:rPr>
        <w:t xml:space="preserve"> (Medical and biological sciences)</w:t>
      </w:r>
    </w:p>
    <w:p w14:paraId="7BA48189" w14:textId="5DA660B5" w:rsidR="00926EF3" w:rsidRPr="00577A0C" w:rsidRDefault="00EC70E8" w:rsidP="00577A0C">
      <w:pPr>
        <w:pStyle w:val="Default"/>
        <w:rPr>
          <w:sz w:val="28"/>
          <w:szCs w:val="28"/>
        </w:rPr>
      </w:pPr>
      <w:r w:rsidRPr="00EC70E8">
        <w:rPr>
          <w:sz w:val="28"/>
          <w:szCs w:val="28"/>
        </w:rPr>
        <w:t>Основы микробиологической диагностики</w:t>
      </w:r>
      <w:r w:rsidR="009D72EC">
        <w:rPr>
          <w:sz w:val="28"/>
          <w:szCs w:val="28"/>
        </w:rPr>
        <w:t xml:space="preserve">, </w:t>
      </w:r>
      <w:r w:rsidR="00577A0C" w:rsidRPr="00EC70E8">
        <w:rPr>
          <w:sz w:val="28"/>
          <w:szCs w:val="28"/>
        </w:rPr>
        <w:t>модуль</w:t>
      </w:r>
      <w:r w:rsidR="009D72EC">
        <w:rPr>
          <w:sz w:val="28"/>
          <w:szCs w:val="28"/>
        </w:rPr>
        <w:t xml:space="preserve"> «</w:t>
      </w:r>
      <w:r w:rsidR="009D72EC" w:rsidRPr="00EC70E8">
        <w:rPr>
          <w:sz w:val="28"/>
          <w:szCs w:val="28"/>
        </w:rPr>
        <w:t>Иммунологический</w:t>
      </w:r>
      <w:r w:rsidR="009D72EC">
        <w:rPr>
          <w:sz w:val="28"/>
          <w:szCs w:val="28"/>
        </w:rPr>
        <w:t>»</w:t>
      </w:r>
    </w:p>
    <w:p w14:paraId="2AF3D7FA" w14:textId="77777777" w:rsidR="00926EF3" w:rsidRPr="00577A0C" w:rsidRDefault="00926EF3" w:rsidP="00926EF3">
      <w:pPr>
        <w:pStyle w:val="Default"/>
        <w:jc w:val="center"/>
        <w:rPr>
          <w:sz w:val="28"/>
          <w:szCs w:val="28"/>
        </w:rPr>
      </w:pPr>
    </w:p>
    <w:tbl>
      <w:tblPr>
        <w:tblW w:w="1486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9"/>
        <w:gridCol w:w="6095"/>
        <w:gridCol w:w="4982"/>
      </w:tblGrid>
      <w:tr w:rsidR="00926EF3" w:rsidRPr="00F344E3" w14:paraId="4CEF8B17" w14:textId="77777777" w:rsidTr="00F344E3">
        <w:trPr>
          <w:trHeight w:val="288"/>
        </w:trPr>
        <w:tc>
          <w:tcPr>
            <w:tcW w:w="3789" w:type="dxa"/>
          </w:tcPr>
          <w:p w14:paraId="710A66C4" w14:textId="129EAEFF" w:rsidR="00926EF3" w:rsidRPr="00F344E3" w:rsidRDefault="00926EF3">
            <w:pPr>
              <w:pStyle w:val="Default"/>
            </w:pPr>
            <w:r w:rsidRPr="00F344E3">
              <w:t xml:space="preserve">Краткое содержание учебной дисциплины, модуля / Brief summary </w:t>
            </w:r>
          </w:p>
        </w:tc>
        <w:tc>
          <w:tcPr>
            <w:tcW w:w="6095" w:type="dxa"/>
          </w:tcPr>
          <w:p w14:paraId="1F7F0906" w14:textId="77777777" w:rsidR="00577A0C" w:rsidRPr="00577A0C" w:rsidRDefault="00577A0C" w:rsidP="00577A0C">
            <w:pPr>
              <w:pStyle w:val="Default"/>
            </w:pPr>
            <w:r w:rsidRPr="00577A0C">
              <w:t xml:space="preserve">Дисциплина «Основы микробиологической диагностики» занимает важное место в медико-биологическом образовании в силу значения мик-робиологических знаний и методов исследования в области клинической микробиологии, медицины, биотехнологии и молекулярной биологии. </w:t>
            </w:r>
          </w:p>
          <w:p w14:paraId="3715731A" w14:textId="74F86CBA" w:rsidR="00926EF3" w:rsidRPr="00F344E3" w:rsidRDefault="00577A0C" w:rsidP="00577A0C">
            <w:pPr>
              <w:pStyle w:val="Default"/>
            </w:pPr>
            <w:r w:rsidRPr="00577A0C">
              <w:t>Основы микробиологической диагностики – учебная дисциплина, содержащая систематизированные научные знания о закономерностях взаи-модействия организма человека с микроорганизмами в норме и при патологии. Данная дисциплина основана на методологической базе идентифи-кации возбудителя или выявлении иммунного ответа организма на него. Микробиологическая диагностика основана на принципах и методах диагностики оппортунистических инфекций, а также микробиологическом обеспечении инфекционного контроля в организациях здравоохранения. Фактический потенциал изучения микробиологических методов диагностики на базовом уровне позволяет дать студентам сведения научного характера, отличающиеся возможностью интегрирования разных областей науки.</w:t>
            </w:r>
          </w:p>
        </w:tc>
        <w:tc>
          <w:tcPr>
            <w:tcW w:w="4982" w:type="dxa"/>
          </w:tcPr>
          <w:p w14:paraId="4CED76B3" w14:textId="3331D689" w:rsidR="00926EF3" w:rsidRPr="00F344E3" w:rsidRDefault="00926EF3">
            <w:pPr>
              <w:pStyle w:val="Default"/>
            </w:pPr>
          </w:p>
        </w:tc>
      </w:tr>
      <w:tr w:rsidR="00926EF3" w:rsidRPr="00577A0C" w14:paraId="7F66860B" w14:textId="77777777" w:rsidTr="00EC70E8">
        <w:trPr>
          <w:trHeight w:val="1254"/>
        </w:trPr>
        <w:tc>
          <w:tcPr>
            <w:tcW w:w="3789" w:type="dxa"/>
          </w:tcPr>
          <w:p w14:paraId="1CB7D7EF" w14:textId="77777777" w:rsidR="00926EF3" w:rsidRPr="004D57B2" w:rsidRDefault="00926EF3">
            <w:pPr>
              <w:pStyle w:val="Default"/>
              <w:rPr>
                <w:lang w:val="en-US"/>
              </w:rPr>
            </w:pPr>
            <w:r w:rsidRPr="00F344E3">
              <w:t>Формируемые</w:t>
            </w:r>
            <w:r w:rsidRPr="004D57B2">
              <w:rPr>
                <w:lang w:val="en-US"/>
              </w:rPr>
              <w:t xml:space="preserve"> </w:t>
            </w:r>
            <w:r w:rsidRPr="00F344E3">
              <w:t>компетенции</w:t>
            </w:r>
            <w:r w:rsidRPr="004D57B2">
              <w:rPr>
                <w:lang w:val="en-US"/>
              </w:rPr>
              <w:t xml:space="preserve"> / The formed competences </w:t>
            </w:r>
          </w:p>
        </w:tc>
        <w:tc>
          <w:tcPr>
            <w:tcW w:w="6095" w:type="dxa"/>
          </w:tcPr>
          <w:p w14:paraId="53E3B8DA" w14:textId="3163E1BB" w:rsidR="00926EF3" w:rsidRPr="00F344E3" w:rsidRDefault="004D57B2" w:rsidP="004D57B2">
            <w:pPr>
              <w:pStyle w:val="Default"/>
            </w:pPr>
            <w:r w:rsidRPr="004D57B2">
              <w:t>Выявлять причинно-следственные связи в возникновении инфекционных болезней с позиций закономерностей иммунологических протективных и иммунопатологических процессов</w:t>
            </w:r>
            <w:r>
              <w:t>.</w:t>
            </w:r>
          </w:p>
        </w:tc>
        <w:tc>
          <w:tcPr>
            <w:tcW w:w="4982" w:type="dxa"/>
          </w:tcPr>
          <w:p w14:paraId="6237528B" w14:textId="1A0011C0" w:rsidR="00926EF3" w:rsidRPr="00577A0C" w:rsidRDefault="00926EF3" w:rsidP="00843303">
            <w:pPr>
              <w:pStyle w:val="Default"/>
            </w:pPr>
          </w:p>
        </w:tc>
      </w:tr>
      <w:tr w:rsidR="00926EF3" w:rsidRPr="00577A0C" w14:paraId="2A4B2868" w14:textId="77777777" w:rsidTr="00F344E3">
        <w:trPr>
          <w:trHeight w:val="1408"/>
        </w:trPr>
        <w:tc>
          <w:tcPr>
            <w:tcW w:w="3789" w:type="dxa"/>
          </w:tcPr>
          <w:p w14:paraId="1B315540" w14:textId="77777777" w:rsidR="00926EF3" w:rsidRPr="00F344E3" w:rsidRDefault="00926EF3">
            <w:pPr>
              <w:pStyle w:val="Default"/>
            </w:pPr>
            <w:r w:rsidRPr="00F344E3">
              <w:t xml:space="preserve">Результаты обучения (знать, уметь, владеть) / Learning outcomes (know, can, be able) </w:t>
            </w:r>
          </w:p>
        </w:tc>
        <w:tc>
          <w:tcPr>
            <w:tcW w:w="6095" w:type="dxa"/>
          </w:tcPr>
          <w:p w14:paraId="4EA03877" w14:textId="77777777" w:rsidR="00926EF3" w:rsidRPr="00F344E3" w:rsidRDefault="00926EF3">
            <w:pPr>
              <w:pStyle w:val="Default"/>
            </w:pPr>
            <w:r w:rsidRPr="00F344E3">
              <w:rPr>
                <w:b/>
                <w:bCs/>
              </w:rPr>
              <w:t xml:space="preserve">знать: </w:t>
            </w:r>
          </w:p>
          <w:p w14:paraId="2165696E" w14:textId="75764276" w:rsidR="004D57B2" w:rsidRPr="004D57B2" w:rsidRDefault="004D57B2" w:rsidP="004D57B2">
            <w:pPr>
              <w:pStyle w:val="Default"/>
            </w:pPr>
            <w:r w:rsidRPr="004D57B2">
              <w:t>– особенности морфологии, структурной организации и генетики отдельных групп патогенных и условно-патогенных микроорганизмов;</w:t>
            </w:r>
          </w:p>
          <w:p w14:paraId="4A8A6658" w14:textId="54E0A792" w:rsidR="004D57B2" w:rsidRPr="004D57B2" w:rsidRDefault="004D57B2" w:rsidP="004D57B2">
            <w:pPr>
              <w:pStyle w:val="Default"/>
            </w:pPr>
            <w:r w:rsidRPr="004D57B2">
              <w:t>– действие химических, физических и биологических факторов на жизнедеятельность микроорганизмов и их практическое использование;</w:t>
            </w:r>
          </w:p>
          <w:p w14:paraId="3A851F73" w14:textId="49896BDF" w:rsidR="004D57B2" w:rsidRPr="004D57B2" w:rsidRDefault="004D57B2" w:rsidP="004D57B2">
            <w:pPr>
              <w:pStyle w:val="Default"/>
            </w:pPr>
            <w:r w:rsidRPr="004D57B2">
              <w:lastRenderedPageBreak/>
              <w:t xml:space="preserve">– основные методы микробиологической и вирусологической диагностики заболеваний; </w:t>
            </w:r>
          </w:p>
          <w:p w14:paraId="201464AF" w14:textId="77777777" w:rsidR="004D57B2" w:rsidRPr="00CA1E8B" w:rsidRDefault="004D57B2" w:rsidP="004D57B2">
            <w:pPr>
              <w:pStyle w:val="Default"/>
            </w:pPr>
            <w:r w:rsidRPr="00CA1E8B">
              <w:t>методические приёмы работы с микроорганизмами;</w:t>
            </w:r>
          </w:p>
          <w:p w14:paraId="49674240" w14:textId="37FC3011" w:rsidR="004D57B2" w:rsidRPr="004D57B2" w:rsidRDefault="004D57B2" w:rsidP="004D57B2">
            <w:pPr>
              <w:pStyle w:val="Default"/>
            </w:pPr>
            <w:r w:rsidRPr="004D57B2">
              <w:t>– новейшие достижения в области микробиологии и перспективы их использования в практических целях;</w:t>
            </w:r>
          </w:p>
          <w:p w14:paraId="6DC1BC26" w14:textId="2CBB380D" w:rsidR="00926EF3" w:rsidRPr="00F344E3" w:rsidRDefault="00926EF3" w:rsidP="00F344E3">
            <w:pPr>
              <w:pStyle w:val="Default"/>
            </w:pPr>
            <w:r w:rsidRPr="00F344E3">
              <w:rPr>
                <w:b/>
                <w:bCs/>
              </w:rPr>
              <w:t xml:space="preserve">уметь: </w:t>
            </w:r>
          </w:p>
          <w:p w14:paraId="14CFF4FD" w14:textId="60CCBEC9" w:rsidR="004D57B2" w:rsidRPr="004D57B2" w:rsidRDefault="004D57B2" w:rsidP="004D57B2">
            <w:pPr>
              <w:pStyle w:val="Default"/>
            </w:pPr>
            <w:r w:rsidRPr="004D57B2">
              <w:t>– использовать современные культуральные, биохимические и микроскопические методы идентификации условно-патогенных микроорганизмов из биологического материала и сред обитания человека;</w:t>
            </w:r>
          </w:p>
          <w:p w14:paraId="08F6553F" w14:textId="29C01138" w:rsidR="004D57B2" w:rsidRPr="004D57B2" w:rsidRDefault="004D57B2" w:rsidP="004D57B2">
            <w:pPr>
              <w:pStyle w:val="Default"/>
            </w:pPr>
            <w:r w:rsidRPr="004D57B2">
              <w:t>– проводить санитарно-эпидемиологические обследования объектов среды обитания человека с использованием современных лабораторных и инструментальных методов контроля;</w:t>
            </w:r>
          </w:p>
          <w:p w14:paraId="6D31025D" w14:textId="48614FE9" w:rsidR="004D57B2" w:rsidRPr="004D57B2" w:rsidRDefault="004D57B2" w:rsidP="004D57B2">
            <w:pPr>
              <w:pStyle w:val="Default"/>
            </w:pPr>
            <w:r w:rsidRPr="004D57B2">
              <w:t>– выполнять все виды микробиологических исследований для диагностики инфекционных и паразитарных заболеваний;</w:t>
            </w:r>
          </w:p>
          <w:p w14:paraId="0C3497A2" w14:textId="58436AD2" w:rsidR="004D57B2" w:rsidRPr="004D57B2" w:rsidRDefault="004D57B2" w:rsidP="004D57B2">
            <w:pPr>
              <w:pStyle w:val="Default"/>
            </w:pPr>
            <w:r w:rsidRPr="004D57B2">
              <w:t>– правильно интерпретировать результаты микроскопических, бактериологических, серологических и молекулярно-биологических исследований;</w:t>
            </w:r>
          </w:p>
          <w:p w14:paraId="58A9E06A" w14:textId="2D65D794" w:rsidR="004D57B2" w:rsidRPr="004D57B2" w:rsidRDefault="004D57B2" w:rsidP="004D57B2">
            <w:pPr>
              <w:pStyle w:val="Default"/>
            </w:pPr>
            <w:r w:rsidRPr="004D57B2">
              <w:t>– оценивать результаты определения чувствительности бактерий к антибиотикам, антисептикам, дезинфектантам;</w:t>
            </w:r>
          </w:p>
          <w:p w14:paraId="2662FE6F" w14:textId="48C20FBE" w:rsidR="00926EF3" w:rsidRPr="00F344E3" w:rsidRDefault="00926EF3" w:rsidP="00F344E3">
            <w:pPr>
              <w:pStyle w:val="Default"/>
            </w:pPr>
            <w:r w:rsidRPr="00F344E3">
              <w:rPr>
                <w:b/>
                <w:bCs/>
              </w:rPr>
              <w:t xml:space="preserve">владеть: </w:t>
            </w:r>
          </w:p>
          <w:p w14:paraId="7A09FBCE" w14:textId="370C01B6" w:rsidR="004D57B2" w:rsidRPr="004D57B2" w:rsidRDefault="004D57B2" w:rsidP="004D57B2">
            <w:pPr>
              <w:pStyle w:val="Default"/>
            </w:pPr>
            <w:r w:rsidRPr="004D57B2">
              <w:t>– техникой микроскопического исследования нативного материала и чистых культур бактерий;</w:t>
            </w:r>
          </w:p>
          <w:p w14:paraId="6C0DF888" w14:textId="62AA7EC1" w:rsidR="004D57B2" w:rsidRPr="004D57B2" w:rsidRDefault="004D57B2" w:rsidP="004D57B2">
            <w:pPr>
              <w:pStyle w:val="Default"/>
            </w:pPr>
            <w:r w:rsidRPr="004D57B2">
              <w:t>– навыками выделения чистых культур бактерий и описания их качественных и количественных характеристик;</w:t>
            </w:r>
          </w:p>
          <w:p w14:paraId="6F046C6B" w14:textId="41CD9192" w:rsidR="004D57B2" w:rsidRPr="00CA1E8B" w:rsidRDefault="004D57B2" w:rsidP="004D57B2">
            <w:pPr>
              <w:pStyle w:val="Default"/>
            </w:pPr>
            <w:r w:rsidRPr="00CA1E8B">
              <w:t>– навыками определения антибиотикограммы;</w:t>
            </w:r>
          </w:p>
          <w:p w14:paraId="17C03E2F" w14:textId="77777777" w:rsidR="004D57B2" w:rsidRPr="00CA1E8B" w:rsidRDefault="004D57B2" w:rsidP="004D57B2">
            <w:pPr>
              <w:pStyle w:val="Default"/>
            </w:pPr>
            <w:r w:rsidRPr="00CA1E8B">
              <w:t>методами микробиологического и серологического исследования;</w:t>
            </w:r>
          </w:p>
          <w:p w14:paraId="3C5BE056" w14:textId="0656779E" w:rsidR="00F344E3" w:rsidRPr="00F344E3" w:rsidRDefault="004D57B2" w:rsidP="004D57B2">
            <w:pPr>
              <w:pStyle w:val="Default"/>
            </w:pPr>
            <w:r w:rsidRPr="004D57B2">
              <w:t>– методикой расчета колониеобразующих единиц и оценки этиологической значимости условно-патогенных микроорганизмов.</w:t>
            </w:r>
          </w:p>
        </w:tc>
        <w:tc>
          <w:tcPr>
            <w:tcW w:w="4982" w:type="dxa"/>
          </w:tcPr>
          <w:p w14:paraId="62B3E453" w14:textId="0FB5AD46" w:rsidR="00926EF3" w:rsidRPr="009D72EC" w:rsidRDefault="00926EF3" w:rsidP="00886A9F">
            <w:pPr>
              <w:pStyle w:val="Default"/>
            </w:pPr>
          </w:p>
        </w:tc>
      </w:tr>
      <w:tr w:rsidR="00926EF3" w:rsidRPr="00F344E3" w14:paraId="5DB8630A" w14:textId="77777777" w:rsidTr="00F344E3">
        <w:trPr>
          <w:trHeight w:val="288"/>
        </w:trPr>
        <w:tc>
          <w:tcPr>
            <w:tcW w:w="3789" w:type="dxa"/>
          </w:tcPr>
          <w:p w14:paraId="75D222C7" w14:textId="77777777" w:rsidR="00926EF3" w:rsidRPr="00F344E3" w:rsidRDefault="00926EF3">
            <w:pPr>
              <w:pStyle w:val="Default"/>
            </w:pPr>
            <w:r w:rsidRPr="00F344E3">
              <w:lastRenderedPageBreak/>
              <w:t xml:space="preserve">Семестр изучения учебной дисциплины, модуля / Semester of study </w:t>
            </w:r>
          </w:p>
        </w:tc>
        <w:tc>
          <w:tcPr>
            <w:tcW w:w="6095" w:type="dxa"/>
          </w:tcPr>
          <w:p w14:paraId="198D1160" w14:textId="5560C879" w:rsidR="00926EF3" w:rsidRPr="00F344E3" w:rsidRDefault="00CA1E8B">
            <w:pPr>
              <w:pStyle w:val="Default"/>
            </w:pPr>
            <w:r>
              <w:t>4</w:t>
            </w:r>
            <w:r w:rsidR="004D57B2">
              <w:t xml:space="preserve"> </w:t>
            </w:r>
            <w:r w:rsidR="00926EF3" w:rsidRPr="00F344E3">
              <w:t>курс</w:t>
            </w:r>
            <w:r w:rsidR="00577A0C">
              <w:t>, 7 семестр</w:t>
            </w:r>
            <w:r w:rsidR="00926EF3" w:rsidRPr="00F344E3">
              <w:t xml:space="preserve"> </w:t>
            </w:r>
          </w:p>
        </w:tc>
        <w:tc>
          <w:tcPr>
            <w:tcW w:w="4982" w:type="dxa"/>
          </w:tcPr>
          <w:p w14:paraId="53E044B3" w14:textId="47C50496" w:rsidR="00926EF3" w:rsidRPr="00F344E3" w:rsidRDefault="00926EF3">
            <w:pPr>
              <w:pStyle w:val="Default"/>
            </w:pPr>
          </w:p>
        </w:tc>
      </w:tr>
      <w:tr w:rsidR="00926EF3" w:rsidRPr="00F344E3" w14:paraId="4E38A27B" w14:textId="77777777" w:rsidTr="00F344E3">
        <w:trPr>
          <w:trHeight w:val="288"/>
        </w:trPr>
        <w:tc>
          <w:tcPr>
            <w:tcW w:w="3789" w:type="dxa"/>
          </w:tcPr>
          <w:p w14:paraId="05BC5293" w14:textId="77777777" w:rsidR="00926EF3" w:rsidRPr="00F344E3" w:rsidRDefault="00926EF3">
            <w:pPr>
              <w:pStyle w:val="Default"/>
            </w:pPr>
            <w:r w:rsidRPr="00F344E3">
              <w:t xml:space="preserve">Пререквизиты </w:t>
            </w:r>
            <w:r w:rsidRPr="00F344E3">
              <w:rPr>
                <w:b/>
                <w:bCs/>
              </w:rPr>
              <w:t xml:space="preserve">/ </w:t>
            </w:r>
            <w:r w:rsidRPr="00F344E3">
              <w:t xml:space="preserve">Prerequisites </w:t>
            </w:r>
          </w:p>
        </w:tc>
        <w:tc>
          <w:tcPr>
            <w:tcW w:w="6095" w:type="dxa"/>
          </w:tcPr>
          <w:p w14:paraId="5513A5D1" w14:textId="1C868BA7" w:rsidR="004D57B2" w:rsidRPr="00F344E3" w:rsidRDefault="00577A0C">
            <w:pPr>
              <w:pStyle w:val="Default"/>
            </w:pPr>
            <w:r>
              <w:t>Инфекционная иммунология</w:t>
            </w:r>
          </w:p>
        </w:tc>
        <w:tc>
          <w:tcPr>
            <w:tcW w:w="4982" w:type="dxa"/>
          </w:tcPr>
          <w:p w14:paraId="70AA3ED0" w14:textId="6C4DC422" w:rsidR="00926EF3" w:rsidRPr="00F344E3" w:rsidRDefault="00926EF3" w:rsidP="00886A9F">
            <w:pPr>
              <w:pStyle w:val="Default"/>
            </w:pPr>
          </w:p>
        </w:tc>
      </w:tr>
      <w:tr w:rsidR="00926EF3" w:rsidRPr="00F344E3" w14:paraId="01C9BC63" w14:textId="77777777" w:rsidTr="00F344E3">
        <w:trPr>
          <w:trHeight w:val="288"/>
        </w:trPr>
        <w:tc>
          <w:tcPr>
            <w:tcW w:w="3789" w:type="dxa"/>
          </w:tcPr>
          <w:p w14:paraId="6DBE1854" w14:textId="6041E9DF" w:rsidR="00926EF3" w:rsidRPr="00F344E3" w:rsidRDefault="00926EF3">
            <w:pPr>
              <w:pStyle w:val="Default"/>
            </w:pPr>
            <w:r w:rsidRPr="00F344E3">
              <w:t xml:space="preserve">Трудоемкость в зачетных единицах (кредитах) / Credit units </w:t>
            </w:r>
          </w:p>
        </w:tc>
        <w:tc>
          <w:tcPr>
            <w:tcW w:w="6095" w:type="dxa"/>
          </w:tcPr>
          <w:p w14:paraId="30B851F1" w14:textId="7BB755B6" w:rsidR="00926EF3" w:rsidRPr="00F344E3" w:rsidRDefault="00F344E3">
            <w:pPr>
              <w:pStyle w:val="Default"/>
            </w:pPr>
            <w:r w:rsidRPr="00F344E3">
              <w:t>3</w:t>
            </w:r>
          </w:p>
        </w:tc>
        <w:tc>
          <w:tcPr>
            <w:tcW w:w="4982" w:type="dxa"/>
          </w:tcPr>
          <w:p w14:paraId="2A2C551B" w14:textId="7E6A3DCA" w:rsidR="00926EF3" w:rsidRPr="00F344E3" w:rsidRDefault="00926EF3">
            <w:pPr>
              <w:pStyle w:val="Default"/>
            </w:pPr>
          </w:p>
        </w:tc>
      </w:tr>
      <w:tr w:rsidR="00926EF3" w:rsidRPr="00F344E3" w14:paraId="5D95F2EF" w14:textId="77777777" w:rsidTr="00F344E3">
        <w:trPr>
          <w:trHeight w:val="610"/>
        </w:trPr>
        <w:tc>
          <w:tcPr>
            <w:tcW w:w="3789" w:type="dxa"/>
          </w:tcPr>
          <w:p w14:paraId="25156831" w14:textId="377A8146" w:rsidR="00926EF3" w:rsidRPr="004D57B2" w:rsidRDefault="00926EF3" w:rsidP="00843303">
            <w:pPr>
              <w:pStyle w:val="Default"/>
              <w:rPr>
                <w:lang w:val="en-US"/>
              </w:rPr>
            </w:pPr>
            <w:r w:rsidRPr="00F344E3">
              <w:t>Количество</w:t>
            </w:r>
            <w:r w:rsidRPr="004D57B2">
              <w:rPr>
                <w:lang w:val="en-US"/>
              </w:rPr>
              <w:t xml:space="preserve"> </w:t>
            </w:r>
            <w:r w:rsidRPr="00F344E3">
              <w:t>аудиторных</w:t>
            </w:r>
            <w:r w:rsidRPr="004D57B2">
              <w:rPr>
                <w:lang w:val="en-US"/>
              </w:rPr>
              <w:t xml:space="preserve"> </w:t>
            </w:r>
            <w:r w:rsidRPr="00F344E3">
              <w:t>часов</w:t>
            </w:r>
            <w:r w:rsidRPr="004D57B2">
              <w:rPr>
                <w:lang w:val="en-US"/>
              </w:rPr>
              <w:t xml:space="preserve"> </w:t>
            </w:r>
            <w:r w:rsidRPr="00F344E3">
              <w:t>и</w:t>
            </w:r>
            <w:r w:rsidRPr="004D57B2">
              <w:rPr>
                <w:lang w:val="en-US"/>
              </w:rPr>
              <w:t xml:space="preserve"> </w:t>
            </w:r>
            <w:r w:rsidRPr="00F344E3">
              <w:t>часов</w:t>
            </w:r>
            <w:r w:rsidRPr="004D57B2">
              <w:rPr>
                <w:lang w:val="en-US"/>
              </w:rPr>
              <w:t xml:space="preserve"> </w:t>
            </w:r>
            <w:r w:rsidRPr="00F344E3">
              <w:t>самостоятельной</w:t>
            </w:r>
            <w:r w:rsidRPr="004D57B2">
              <w:rPr>
                <w:lang w:val="en-US"/>
              </w:rPr>
              <w:t xml:space="preserve"> </w:t>
            </w:r>
            <w:r w:rsidRPr="00F344E3">
              <w:t>работы</w:t>
            </w:r>
            <w:r w:rsidRPr="004D57B2">
              <w:rPr>
                <w:lang w:val="en-US"/>
              </w:rPr>
              <w:t xml:space="preserve"> / Academic hour of students' class work, hours of self-directed learning </w:t>
            </w:r>
          </w:p>
        </w:tc>
        <w:tc>
          <w:tcPr>
            <w:tcW w:w="6095" w:type="dxa"/>
          </w:tcPr>
          <w:p w14:paraId="414AF811" w14:textId="01C538F5" w:rsidR="00926EF3" w:rsidRPr="00F344E3" w:rsidRDefault="00577A0C" w:rsidP="00CA1E8B">
            <w:pPr>
              <w:pStyle w:val="Default"/>
            </w:pPr>
            <w:r>
              <w:t xml:space="preserve">Всего </w:t>
            </w:r>
            <w:r w:rsidR="00CA1E8B">
              <w:t>48</w:t>
            </w:r>
            <w:r>
              <w:t xml:space="preserve"> часов, из 108 - аудиторных</w:t>
            </w:r>
            <w:r w:rsidR="00926EF3" w:rsidRPr="00F344E3">
              <w:t xml:space="preserve"> </w:t>
            </w:r>
          </w:p>
        </w:tc>
        <w:tc>
          <w:tcPr>
            <w:tcW w:w="4982" w:type="dxa"/>
          </w:tcPr>
          <w:p w14:paraId="741B7CF7" w14:textId="4CD16EE2" w:rsidR="00926EF3" w:rsidRPr="00F344E3" w:rsidRDefault="00926EF3" w:rsidP="00886A9F">
            <w:pPr>
              <w:pStyle w:val="Default"/>
            </w:pPr>
          </w:p>
        </w:tc>
      </w:tr>
      <w:tr w:rsidR="00926EF3" w:rsidRPr="00F344E3" w14:paraId="557FB4B3" w14:textId="77777777" w:rsidTr="00F344E3">
        <w:trPr>
          <w:trHeight w:val="611"/>
        </w:trPr>
        <w:tc>
          <w:tcPr>
            <w:tcW w:w="3789" w:type="dxa"/>
          </w:tcPr>
          <w:p w14:paraId="5C95A78B" w14:textId="77777777" w:rsidR="00926EF3" w:rsidRPr="004D57B2" w:rsidRDefault="00926EF3">
            <w:pPr>
              <w:pStyle w:val="Default"/>
              <w:rPr>
                <w:lang w:val="en-US"/>
              </w:rPr>
            </w:pPr>
            <w:r w:rsidRPr="00F344E3">
              <w:t>Требования</w:t>
            </w:r>
            <w:r w:rsidRPr="004D57B2">
              <w:rPr>
                <w:lang w:val="en-US"/>
              </w:rPr>
              <w:t xml:space="preserve"> </w:t>
            </w:r>
            <w:r w:rsidRPr="00F344E3">
              <w:t>и</w:t>
            </w:r>
            <w:r w:rsidRPr="004D57B2">
              <w:rPr>
                <w:lang w:val="en-US"/>
              </w:rPr>
              <w:t xml:space="preserve"> </w:t>
            </w:r>
            <w:r w:rsidRPr="00F344E3">
              <w:t>формы</w:t>
            </w:r>
            <w:r w:rsidRPr="004D57B2">
              <w:rPr>
                <w:lang w:val="en-US"/>
              </w:rPr>
              <w:t xml:space="preserve"> </w:t>
            </w:r>
            <w:r w:rsidRPr="00F344E3">
              <w:t>текущей</w:t>
            </w:r>
            <w:r w:rsidRPr="004D57B2">
              <w:rPr>
                <w:lang w:val="en-US"/>
              </w:rPr>
              <w:t xml:space="preserve"> </w:t>
            </w:r>
            <w:r w:rsidRPr="00F344E3">
              <w:t>и</w:t>
            </w:r>
            <w:r w:rsidRPr="004D57B2">
              <w:rPr>
                <w:lang w:val="en-US"/>
              </w:rPr>
              <w:t xml:space="preserve"> </w:t>
            </w:r>
            <w:r w:rsidRPr="00F344E3">
              <w:t>промежуточной</w:t>
            </w:r>
            <w:r w:rsidRPr="004D57B2">
              <w:rPr>
                <w:lang w:val="en-US"/>
              </w:rPr>
              <w:t xml:space="preserve"> </w:t>
            </w:r>
            <w:r w:rsidRPr="00F344E3">
              <w:t>аттестации</w:t>
            </w:r>
            <w:r w:rsidRPr="004D57B2">
              <w:rPr>
                <w:lang w:val="en-US"/>
              </w:rPr>
              <w:t xml:space="preserve"> / Requirements and forms of current and interim certification </w:t>
            </w:r>
          </w:p>
        </w:tc>
        <w:tc>
          <w:tcPr>
            <w:tcW w:w="6095" w:type="dxa"/>
          </w:tcPr>
          <w:p w14:paraId="402E04CC" w14:textId="11347E45" w:rsidR="00926EF3" w:rsidRPr="00F344E3" w:rsidRDefault="00926EF3">
            <w:pPr>
              <w:pStyle w:val="Default"/>
            </w:pPr>
            <w:r w:rsidRPr="00F344E3">
              <w:t>З</w:t>
            </w:r>
            <w:r w:rsidR="00577A0C">
              <w:t>ачет</w:t>
            </w:r>
          </w:p>
        </w:tc>
        <w:tc>
          <w:tcPr>
            <w:tcW w:w="4982" w:type="dxa"/>
          </w:tcPr>
          <w:p w14:paraId="45D9F458" w14:textId="0DB69E90" w:rsidR="00926EF3" w:rsidRPr="00F344E3" w:rsidRDefault="00926EF3">
            <w:pPr>
              <w:pStyle w:val="Default"/>
            </w:pPr>
          </w:p>
        </w:tc>
      </w:tr>
    </w:tbl>
    <w:p w14:paraId="4DDAE38D" w14:textId="77777777" w:rsidR="007B4153" w:rsidRDefault="007B4153"/>
    <w:sectPr w:rsidR="007B4153" w:rsidSect="00926EF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624B"/>
    <w:multiLevelType w:val="hybridMultilevel"/>
    <w:tmpl w:val="50449F3C"/>
    <w:lvl w:ilvl="0" w:tplc="451A7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F1B90"/>
    <w:multiLevelType w:val="hybridMultilevel"/>
    <w:tmpl w:val="35661A16"/>
    <w:lvl w:ilvl="0" w:tplc="451A7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573C1"/>
    <w:multiLevelType w:val="hybridMultilevel"/>
    <w:tmpl w:val="29646B4C"/>
    <w:lvl w:ilvl="0" w:tplc="00000008">
      <w:start w:val="500"/>
      <w:numFmt w:val="bullet"/>
      <w:lvlText w:val="–"/>
      <w:lvlJc w:val="left"/>
      <w:pPr>
        <w:ind w:left="1429" w:hanging="360"/>
      </w:pPr>
      <w:rPr>
        <w:rFonts w:ascii="Liberation Serif" w:hAnsi="Liberation Serif" w:hint="default"/>
        <w:color w:val="000000"/>
        <w:spacing w:val="-1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967"/>
    <w:rsid w:val="004D57B2"/>
    <w:rsid w:val="00571967"/>
    <w:rsid w:val="00577A0C"/>
    <w:rsid w:val="007B4153"/>
    <w:rsid w:val="00843303"/>
    <w:rsid w:val="00886A9F"/>
    <w:rsid w:val="00926EF3"/>
    <w:rsid w:val="0098237B"/>
    <w:rsid w:val="009D72EC"/>
    <w:rsid w:val="00CA1E8B"/>
    <w:rsid w:val="00EC70E8"/>
    <w:rsid w:val="00F3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423FA"/>
  <w15:docId w15:val="{5F642669-66ED-4BF2-8E9B-D7352637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6E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qFormat/>
    <w:rsid w:val="004D57B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5">
    <w:name w:val="Стиль5"/>
    <w:basedOn w:val="a"/>
    <w:rsid w:val="004D57B2"/>
    <w:pPr>
      <w:spacing w:after="0" w:line="288" w:lineRule="auto"/>
      <w:ind w:firstLine="426"/>
      <w:jc w:val="both"/>
    </w:pPr>
    <w:rPr>
      <w:rFonts w:ascii="Times New Roman" w:eastAsia="Times New Roman" w:hAnsi="Times New Roman" w:cs="Times New Roman"/>
      <w:bCs/>
      <w:color w:val="000000"/>
      <w:sz w:val="24"/>
      <w:szCs w:val="28"/>
      <w:lang w:eastAsia="ru-RU"/>
    </w:rPr>
  </w:style>
  <w:style w:type="paragraph" w:customStyle="1" w:styleId="Noeeu2">
    <w:name w:val="Noeeu2"/>
    <w:basedOn w:val="a"/>
    <w:next w:val="a"/>
    <w:rsid w:val="004D57B2"/>
    <w:pPr>
      <w:widowControl w:val="0"/>
      <w:spacing w:after="0" w:line="240" w:lineRule="auto"/>
      <w:ind w:left="851" w:hanging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И. Салагуб</dc:creator>
  <cp:lastModifiedBy>Марина В. Лобай</cp:lastModifiedBy>
  <cp:revision>10</cp:revision>
  <dcterms:created xsi:type="dcterms:W3CDTF">2025-06-23T04:18:00Z</dcterms:created>
  <dcterms:modified xsi:type="dcterms:W3CDTF">2025-09-15T09:23:00Z</dcterms:modified>
</cp:coreProperties>
</file>