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441E3565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DC2C22">
        <w:rPr>
          <w:rFonts w:ascii="Times New Roman" w:hAnsi="Times New Roman" w:cs="Times New Roman"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DC2C22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2C22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536FD3CE" w:rsidR="005C57E7" w:rsidRPr="0058126A" w:rsidRDefault="006B188A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Генетика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>
        <w:rPr>
          <w:rFonts w:ascii="Times New Roman" w:hAnsi="Times New Roman" w:cs="Times New Roman"/>
          <w:sz w:val="28"/>
          <w:szCs w:val="28"/>
        </w:rPr>
        <w:t>Биология клетки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480AE8F1" w:rsidR="00726707" w:rsidRPr="00DD1D2D" w:rsidRDefault="00E16103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6-05-05</w:t>
            </w:r>
            <w:r w:rsidR="00DC2C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DC2C2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2C22">
              <w:rPr>
                <w:rFonts w:ascii="Times New Roman" w:hAnsi="Times New Roman" w:cs="Times New Roman"/>
                <w:sz w:val="24"/>
                <w:szCs w:val="24"/>
              </w:rPr>
              <w:t>Медико-биологическое дело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базовой общебиологической и одной из важнейших для формирования мировоззрения студентов биологического и медико-биологического профиля, так как знакомит их с основными законами наследственности и изменчивости организмов, с принципами проявления генотипа в фенотипе, формирования организма в онтогенезе, каждого морфологического, физиологического и биохимического признака, особенностей морфологических структур на всех уровнях организации от молекулярного до организменного, а также и их функционирования, обеспечения метаболизма.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5E7E71E8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 (СК-8): использовать закономерности клеточной организации биологических объектов, мембранных процессов и молекулярных механизмов работы различных систем и органов человека, современные достижения генетики и селекции.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4C20067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принципиальную организацию и молекулярные механизмы регуляции функционирования ДНК в качестве основного вещества наследственности;</w:t>
            </w:r>
          </w:p>
          <w:p w14:paraId="31964D9B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принципы организации трансляции и характеристику ее отдельных этапов в норме и патологии;</w:t>
            </w:r>
          </w:p>
          <w:p w14:paraId="6E2BF325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основные законы наследственности и изменчивости и их реализацию на клеточном, организменном и популяционном уровнях</w:t>
            </w:r>
          </w:p>
          <w:p w14:paraId="271BC95B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основные модели наследования генетических заболеваний и предрасположенности к соматическим заболеваниям у человека;</w:t>
            </w:r>
          </w:p>
          <w:p w14:paraId="700865B9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генетические подходы к диагностике, лечению и профилактике наследственных заболеваний;</w:t>
            </w:r>
          </w:p>
          <w:p w14:paraId="0D3356DB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классификацию хромосомной патологии</w:t>
            </w:r>
          </w:p>
          <w:p w14:paraId="0597D1B9" w14:textId="77777777" w:rsidR="00E940E4" w:rsidRPr="00E940E4" w:rsidRDefault="00E940E4" w:rsidP="00E940E4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сущность, принципы и виды молекулярно-генетических методов диагностики наследственных болезней</w:t>
            </w:r>
          </w:p>
          <w:p w14:paraId="2076CA03" w14:textId="2C556898" w:rsidR="00E45BDD" w:rsidRPr="00E45BDD" w:rsidRDefault="00E940E4" w:rsidP="00E940E4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E940E4">
              <w:rPr>
                <w:i w:val="0"/>
                <w:iCs w:val="0"/>
                <w:sz w:val="24"/>
                <w:szCs w:val="24"/>
              </w:rPr>
              <w:t>способы вычисления генетического риска для человека</w:t>
            </w:r>
            <w:r w:rsidR="00E45BDD" w:rsidRPr="00E45BDD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E45BDD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6C64747F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пользоваться медико-генетической терминологией;</w:t>
            </w:r>
          </w:p>
          <w:p w14:paraId="64D60E24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применять цитогенетические методы для медицинской генетики;</w:t>
            </w:r>
          </w:p>
          <w:p w14:paraId="02E96B66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давать прогноз возникновения генетического заболевания у пробанда и его родственников;</w:t>
            </w:r>
          </w:p>
          <w:p w14:paraId="4FC9E63F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установить диагноз хромосомной болезни на основании интерпретации данных биохимического, молекулярного и цитогенетического анализов;</w:t>
            </w:r>
          </w:p>
          <w:p w14:paraId="0F92CF97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 xml:space="preserve">использовать клинико-генетические и лабораторные методы обследования больных с наследственной патологией и их родственников; </w:t>
            </w:r>
          </w:p>
          <w:p w14:paraId="0E329007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lastRenderedPageBreak/>
              <w:t xml:space="preserve">интерпретировать методы цитологической и цитогенетической диагностики; </w:t>
            </w:r>
          </w:p>
          <w:p w14:paraId="453F84AC" w14:textId="44CC0A8D" w:rsidR="00844970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ориентироваться в данных биохимического, молекулярного и цитогенетического анализов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19ACEFB6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 xml:space="preserve">методами </w:t>
            </w:r>
            <w:proofErr w:type="spellStart"/>
            <w:r w:rsidRPr="00E940E4">
              <w:rPr>
                <w:sz w:val="24"/>
                <w:szCs w:val="24"/>
              </w:rPr>
              <w:t>кариологического</w:t>
            </w:r>
            <w:proofErr w:type="spellEnd"/>
            <w:r w:rsidRPr="00E940E4">
              <w:rPr>
                <w:sz w:val="24"/>
                <w:szCs w:val="24"/>
              </w:rPr>
              <w:t xml:space="preserve"> анализа метафазных хромосом;</w:t>
            </w:r>
          </w:p>
          <w:p w14:paraId="1A74D716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цитогенетическими методами учета хромосомных аберраций;</w:t>
            </w:r>
          </w:p>
          <w:p w14:paraId="0F6C22CA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способами оценки информативности примененного молекулярно-цитогенетического метода;</w:t>
            </w:r>
          </w:p>
          <w:p w14:paraId="427F50E9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методами приготовления препаратов костного мозга, половых клеток, ядер;</w:t>
            </w:r>
          </w:p>
          <w:p w14:paraId="294FD6F5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отдельными методами цитогенетического обследования;</w:t>
            </w:r>
          </w:p>
          <w:p w14:paraId="76F64673" w14:textId="77777777" w:rsidR="00E940E4" w:rsidRPr="00E940E4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>методами гибридизации нуклеиновых кислот:</w:t>
            </w:r>
          </w:p>
          <w:p w14:paraId="591C2CDF" w14:textId="60F994A0" w:rsidR="00E45BDD" w:rsidRPr="00E45BDD" w:rsidRDefault="00E940E4" w:rsidP="00E940E4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E940E4">
              <w:rPr>
                <w:sz w:val="24"/>
                <w:szCs w:val="24"/>
              </w:rPr>
              <w:t xml:space="preserve">методами флуоресцентной гибридизации </w:t>
            </w:r>
            <w:proofErr w:type="spellStart"/>
            <w:r w:rsidRPr="00E940E4">
              <w:rPr>
                <w:sz w:val="24"/>
                <w:szCs w:val="24"/>
              </w:rPr>
              <w:t>in</w:t>
            </w:r>
            <w:proofErr w:type="spellEnd"/>
            <w:r w:rsidRPr="00E940E4">
              <w:rPr>
                <w:sz w:val="24"/>
                <w:szCs w:val="24"/>
              </w:rPr>
              <w:t xml:space="preserve"> </w:t>
            </w:r>
            <w:proofErr w:type="spellStart"/>
            <w:r w:rsidRPr="00E940E4">
              <w:rPr>
                <w:sz w:val="24"/>
                <w:szCs w:val="24"/>
              </w:rPr>
              <w:t>situ</w:t>
            </w:r>
            <w:proofErr w:type="spellEnd"/>
            <w:r w:rsidRPr="00E940E4">
              <w:rPr>
                <w:sz w:val="24"/>
                <w:szCs w:val="24"/>
              </w:rPr>
              <w:t xml:space="preserve"> (FISH)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4B63544D" w:rsidR="005801F3" w:rsidRPr="00726707" w:rsidRDefault="00DC2C22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bookmarkStart w:id="0" w:name="_GoBack"/>
            <w:bookmarkEnd w:id="0"/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78D16B61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1D6F460E" w:rsidR="00187C7E" w:rsidRPr="002F2619" w:rsidRDefault="00E940E4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5FF971A3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C2C2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2C2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</w:t>
            </w: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Requirements and forms of current and interim certification</w:t>
            </w:r>
          </w:p>
        </w:tc>
        <w:tc>
          <w:tcPr>
            <w:tcW w:w="5490" w:type="dxa"/>
          </w:tcPr>
          <w:p w14:paraId="2A6400FA" w14:textId="727412B3" w:rsidR="00187C7E" w:rsidRDefault="00E940E4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Зачет, эк</w:t>
            </w:r>
            <w:r w:rsidR="00E45BDD">
              <w:rPr>
                <w:rFonts w:ascii="Times New Roman" w:hAnsi="Times New Roman" w:cs="Times New Roman"/>
                <w:sz w:val="28"/>
                <w:szCs w:val="28"/>
              </w:rPr>
              <w:t>замен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F2619"/>
    <w:rsid w:val="003752D9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53E41"/>
    <w:rsid w:val="00B51E04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2025-09-19T10:27:00Z</dcterms:created>
  <dcterms:modified xsi:type="dcterms:W3CDTF">2025-09-19T10:27:00Z</dcterms:modified>
</cp:coreProperties>
</file>