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88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0230"/>
      </w:tblGrid>
      <w:tr w:rsidR="00CA6396" w:rsidTr="00CA6396">
        <w:trPr>
          <w:trHeight w:val="2266"/>
        </w:trPr>
        <w:tc>
          <w:tcPr>
            <w:tcW w:w="10456" w:type="dxa"/>
            <w:vAlign w:val="center"/>
          </w:tcPr>
          <w:p w:rsidR="00CA6396" w:rsidRPr="00FA671C" w:rsidRDefault="00CA6396" w:rsidP="003F3F43">
            <w:pPr>
              <w:spacing w:after="0" w:line="239" w:lineRule="auto"/>
              <w:ind w:left="567" w:right="708" w:hanging="283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Вариант 1.</w:t>
            </w:r>
          </w:p>
          <w:p w:rsidR="00CA6396" w:rsidRPr="0041079E" w:rsidRDefault="00CA6396" w:rsidP="003F3F43">
            <w:pPr>
              <w:spacing w:after="0" w:line="239" w:lineRule="auto"/>
              <w:ind w:left="567" w:right="708" w:hanging="28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1.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Ксенобиология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как наука. Цели и задачи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ксенобиологии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Основные понятия и определения, роль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ксенобиологии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в системе наук.</w:t>
            </w:r>
          </w:p>
          <w:p w:rsidR="00CA6396" w:rsidRDefault="00CA6396" w:rsidP="003F3F43">
            <w:pPr>
              <w:spacing w:after="0" w:line="239" w:lineRule="auto"/>
              <w:ind w:left="567" w:right="708" w:hanging="283"/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Биотрансформация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неорганических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ксенобиотиков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, основные реакции.</w:t>
            </w:r>
          </w:p>
        </w:tc>
      </w:tr>
      <w:tr w:rsidR="00CA6396" w:rsidTr="00CA6396">
        <w:trPr>
          <w:trHeight w:val="2401"/>
        </w:trPr>
        <w:tc>
          <w:tcPr>
            <w:tcW w:w="10456" w:type="dxa"/>
            <w:vAlign w:val="center"/>
          </w:tcPr>
          <w:p w:rsidR="00CA6396" w:rsidRPr="00FA671C" w:rsidRDefault="00CA6396" w:rsidP="003F3F43">
            <w:pPr>
              <w:spacing w:after="0" w:line="239" w:lineRule="auto"/>
              <w:ind w:left="567" w:right="708" w:hanging="283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Вариант 2.</w:t>
            </w:r>
          </w:p>
          <w:p w:rsidR="00CA6396" w:rsidRPr="0041079E" w:rsidRDefault="00CA6396" w:rsidP="003F3F43">
            <w:pPr>
              <w:spacing w:after="0" w:line="239" w:lineRule="auto"/>
              <w:ind w:left="567" w:right="708" w:hanging="28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Основные проблемы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ксенобиологии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Связь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ксенобиологии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с другими науками. Объекты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ксенобиологии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</w:p>
          <w:p w:rsidR="00CA6396" w:rsidRDefault="00CA6396" w:rsidP="003F3F43">
            <w:pPr>
              <w:spacing w:after="0" w:line="239" w:lineRule="auto"/>
              <w:ind w:left="567" w:right="708" w:hanging="283"/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Правила GLP и GCP - западные критерии фармакологической активности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ксенобиотиков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и безопасности их воздействия на человека.</w:t>
            </w:r>
          </w:p>
        </w:tc>
      </w:tr>
      <w:tr w:rsidR="00CA6396" w:rsidTr="00CA6396">
        <w:trPr>
          <w:trHeight w:val="1836"/>
        </w:trPr>
        <w:tc>
          <w:tcPr>
            <w:tcW w:w="10456" w:type="dxa"/>
            <w:vAlign w:val="center"/>
          </w:tcPr>
          <w:p w:rsidR="00CA6396" w:rsidRPr="00FA671C" w:rsidRDefault="00CA6396" w:rsidP="003F3F43">
            <w:pPr>
              <w:spacing w:after="0" w:line="239" w:lineRule="auto"/>
              <w:ind w:left="567" w:right="708" w:hanging="283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Вариант 3.</w:t>
            </w:r>
          </w:p>
          <w:p w:rsidR="00CA6396" w:rsidRPr="0041079E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Ксенобиотики и их виды. Классификация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ксенобиотиков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по общим и специальным принципам. Понятие о токсическом действии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ксенобиотиков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</w:p>
          <w:p w:rsidR="00CA6396" w:rsidRDefault="00CA6396" w:rsidP="003F3F43">
            <w:pPr>
              <w:spacing w:after="0" w:line="239" w:lineRule="auto"/>
              <w:ind w:left="567" w:right="708" w:hanging="283"/>
              <w:jc w:val="both"/>
            </w:pP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Биотрансформация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и ее значение.</w:t>
            </w:r>
          </w:p>
        </w:tc>
      </w:tr>
      <w:tr w:rsidR="00CA6396" w:rsidTr="00CA6396">
        <w:trPr>
          <w:trHeight w:val="1961"/>
        </w:trPr>
        <w:tc>
          <w:tcPr>
            <w:tcW w:w="10456" w:type="dxa"/>
            <w:vAlign w:val="center"/>
          </w:tcPr>
          <w:p w:rsidR="00CA6396" w:rsidRPr="00FA671C" w:rsidRDefault="00CA6396" w:rsidP="003F3F43">
            <w:pPr>
              <w:spacing w:after="0" w:line="239" w:lineRule="auto"/>
              <w:ind w:left="567" w:right="708" w:hanging="283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4</w:t>
            </w: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</w:t>
            </w:r>
          </w:p>
          <w:p w:rsidR="00CA6396" w:rsidRPr="0041079E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 Основные типы глобального химического загрязнения и их характеристика. Причины роста глобального химического загрязнения.</w:t>
            </w:r>
          </w:p>
          <w:p w:rsidR="00CA6396" w:rsidRDefault="00CA6396" w:rsidP="003F3F43">
            <w:pPr>
              <w:spacing w:after="0" w:line="239" w:lineRule="auto"/>
              <w:ind w:left="567" w:right="708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Факторы, влияющие на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биотрансформацию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ксенобиотиков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</w:p>
        </w:tc>
      </w:tr>
      <w:tr w:rsidR="00CA6396" w:rsidTr="00CA6396">
        <w:trPr>
          <w:trHeight w:val="2267"/>
        </w:trPr>
        <w:tc>
          <w:tcPr>
            <w:tcW w:w="10456" w:type="dxa"/>
            <w:vAlign w:val="center"/>
          </w:tcPr>
          <w:p w:rsidR="00CA6396" w:rsidRPr="00FA671C" w:rsidRDefault="00CA6396" w:rsidP="003F3F43">
            <w:pPr>
              <w:spacing w:after="0" w:line="239" w:lineRule="auto"/>
              <w:ind w:left="567" w:right="708" w:hanging="283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5</w:t>
            </w: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</w:t>
            </w:r>
          </w:p>
          <w:p w:rsidR="00CA6396" w:rsidRPr="0041079E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Биологическая активность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ксенобиотиков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 Разнообразие видов и классификация химических соединений по видам биологической активности.</w:t>
            </w:r>
          </w:p>
          <w:p w:rsidR="00CA6396" w:rsidRDefault="00CA6396" w:rsidP="003F3F43">
            <w:pPr>
              <w:spacing w:after="0" w:line="239" w:lineRule="auto"/>
              <w:ind w:left="567" w:right="708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Трансмембранный перенос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ксенобиотиков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Биоэнергетика и ксенобиотики. </w:t>
            </w:r>
          </w:p>
        </w:tc>
      </w:tr>
      <w:tr w:rsidR="00CA6396" w:rsidTr="00CA6396">
        <w:trPr>
          <w:trHeight w:val="1409"/>
        </w:trPr>
        <w:tc>
          <w:tcPr>
            <w:tcW w:w="10456" w:type="dxa"/>
            <w:vAlign w:val="center"/>
          </w:tcPr>
          <w:p w:rsidR="00CA6396" w:rsidRPr="00FA671C" w:rsidRDefault="00CA6396" w:rsidP="003F3F43">
            <w:pPr>
              <w:spacing w:after="0" w:line="239" w:lineRule="auto"/>
              <w:ind w:left="567" w:right="708" w:hanging="283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6</w:t>
            </w: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</w:t>
            </w:r>
          </w:p>
          <w:p w:rsidR="00CA6396" w:rsidRPr="0041079E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 Свойства ксенобиотика, определяющие его токсичность.</w:t>
            </w:r>
          </w:p>
          <w:p w:rsidR="00CA6396" w:rsidRDefault="00CA6396" w:rsidP="003F3F43">
            <w:pPr>
              <w:spacing w:after="0" w:line="239" w:lineRule="auto"/>
              <w:ind w:left="567" w:right="708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Пиноцитоз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и фагоцитоз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ксенобиотиков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Этапы и виды. </w:t>
            </w:r>
          </w:p>
        </w:tc>
      </w:tr>
      <w:tr w:rsidR="00CA6396" w:rsidTr="003F3F43">
        <w:trPr>
          <w:trHeight w:val="2835"/>
        </w:trPr>
        <w:tc>
          <w:tcPr>
            <w:tcW w:w="10456" w:type="dxa"/>
            <w:vAlign w:val="center"/>
          </w:tcPr>
          <w:p w:rsidR="00CA6396" w:rsidRPr="00FA671C" w:rsidRDefault="00CA6396" w:rsidP="003F3F43">
            <w:pPr>
              <w:spacing w:after="0" w:line="239" w:lineRule="auto"/>
              <w:ind w:left="567" w:right="708" w:hanging="283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7</w:t>
            </w: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</w:t>
            </w:r>
          </w:p>
          <w:p w:rsidR="00CA6396" w:rsidRPr="0041079E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Понятие рецептор, виды рецепторов, примеры. Концепция рецепторов, гипотезы взаимодействия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ксенобиотиков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с рецепторами.</w:t>
            </w:r>
          </w:p>
          <w:p w:rsidR="00CA6396" w:rsidRPr="0041079E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2. Образование хелатных комплексов. Характеристика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лиганд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Сродство, коэффициент устойчивости. </w:t>
            </w:r>
          </w:p>
          <w:p w:rsidR="00CA6396" w:rsidRDefault="00CA6396" w:rsidP="003F3F43">
            <w:pPr>
              <w:spacing w:after="0"/>
              <w:ind w:left="567" w:right="708" w:hanging="283"/>
            </w:pPr>
          </w:p>
        </w:tc>
      </w:tr>
      <w:tr w:rsidR="00CA6396" w:rsidTr="00CA6396">
        <w:trPr>
          <w:trHeight w:val="2267"/>
        </w:trPr>
        <w:tc>
          <w:tcPr>
            <w:tcW w:w="10456" w:type="dxa"/>
            <w:vAlign w:val="center"/>
          </w:tcPr>
          <w:p w:rsidR="00CA6396" w:rsidRPr="00FA671C" w:rsidRDefault="00CA6396" w:rsidP="003F3F43">
            <w:pPr>
              <w:spacing w:after="0" w:line="239" w:lineRule="auto"/>
              <w:ind w:left="567" w:right="708" w:hanging="283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lastRenderedPageBreak/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8</w:t>
            </w: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</w:t>
            </w:r>
          </w:p>
          <w:p w:rsidR="00CA6396" w:rsidRPr="0041079E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Типы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мембранотропности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ксенобиотиков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и химические связи, определяющие взаимодействие ксенобиотика с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мембранактивными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структурами. </w:t>
            </w:r>
          </w:p>
          <w:p w:rsidR="00CA6396" w:rsidRDefault="00CA6396" w:rsidP="003F3F43">
            <w:pPr>
              <w:spacing w:after="0" w:line="239" w:lineRule="auto"/>
              <w:ind w:left="567" w:right="708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 Структурно-видовые и функциональные свойства экосистем и их нарушения, многофакторность влияния.</w:t>
            </w:r>
          </w:p>
        </w:tc>
      </w:tr>
      <w:tr w:rsidR="00CA6396" w:rsidTr="00CA6396">
        <w:trPr>
          <w:trHeight w:val="2255"/>
        </w:trPr>
        <w:tc>
          <w:tcPr>
            <w:tcW w:w="10456" w:type="dxa"/>
            <w:vAlign w:val="center"/>
          </w:tcPr>
          <w:p w:rsidR="00CA6396" w:rsidRPr="00FA671C" w:rsidRDefault="00CA6396" w:rsidP="003F3F43">
            <w:pPr>
              <w:spacing w:after="0" w:line="239" w:lineRule="auto"/>
              <w:ind w:left="567" w:right="708" w:hanging="283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9</w:t>
            </w: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</w:t>
            </w:r>
          </w:p>
          <w:p w:rsidR="00CA6396" w:rsidRPr="0041079E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Особенности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мембранотропных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эффектов и развитие реакции на действие поверхностно-активных веществ.</w:t>
            </w:r>
          </w:p>
          <w:p w:rsidR="00CA6396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Общая схема реакций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коньюгации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ксенобиотиков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Основные группы и типы реакций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коньюгации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Индукция защитных систем организма. </w:t>
            </w:r>
          </w:p>
        </w:tc>
      </w:tr>
      <w:tr w:rsidR="00CA6396" w:rsidTr="00CA6396">
        <w:trPr>
          <w:trHeight w:val="1692"/>
        </w:trPr>
        <w:tc>
          <w:tcPr>
            <w:tcW w:w="10456" w:type="dxa"/>
            <w:vAlign w:val="center"/>
          </w:tcPr>
          <w:p w:rsidR="00CA6396" w:rsidRPr="00FA671C" w:rsidRDefault="00CA6396" w:rsidP="003F3F43">
            <w:pPr>
              <w:spacing w:after="0" w:line="239" w:lineRule="auto"/>
              <w:ind w:left="567" w:right="708" w:hanging="283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10</w:t>
            </w: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</w:t>
            </w:r>
          </w:p>
          <w:p w:rsidR="00CA6396" w:rsidRPr="0041079E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Роль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ксенобиотиков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в опухолевой трансформации клеток. </w:t>
            </w:r>
          </w:p>
          <w:p w:rsidR="00CA6396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Ионизация, ее природа. Константа и степень ионизации молекул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ксенобиотиков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</w:t>
            </w:r>
          </w:p>
        </w:tc>
      </w:tr>
      <w:tr w:rsidR="00CA6396" w:rsidTr="00CA6396">
        <w:trPr>
          <w:trHeight w:val="1830"/>
        </w:trPr>
        <w:tc>
          <w:tcPr>
            <w:tcW w:w="10456" w:type="dxa"/>
            <w:vAlign w:val="center"/>
          </w:tcPr>
          <w:p w:rsidR="00CA6396" w:rsidRPr="00FA671C" w:rsidRDefault="00CA6396" w:rsidP="003F3F43">
            <w:pPr>
              <w:spacing w:after="0" w:line="239" w:lineRule="auto"/>
              <w:ind w:left="567" w:right="708" w:hanging="283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11</w:t>
            </w: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</w:t>
            </w:r>
          </w:p>
          <w:p w:rsidR="00CA6396" w:rsidRPr="0041079E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.Типы гибели клеток. Активаторы и ингибиторы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апоптоза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</w:t>
            </w:r>
          </w:p>
          <w:p w:rsidR="00CA6396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Активный перенос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ксенобиотиков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через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биомембраны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Критерии активного переноса. Характеристика систем активного транспорта. </w:t>
            </w:r>
          </w:p>
        </w:tc>
      </w:tr>
      <w:tr w:rsidR="00CA6396" w:rsidTr="00CA6396">
        <w:trPr>
          <w:trHeight w:val="1970"/>
        </w:trPr>
        <w:tc>
          <w:tcPr>
            <w:tcW w:w="10456" w:type="dxa"/>
            <w:vAlign w:val="center"/>
          </w:tcPr>
          <w:p w:rsidR="00CA6396" w:rsidRPr="00FA671C" w:rsidRDefault="00CA6396" w:rsidP="003F3F43">
            <w:pPr>
              <w:spacing w:after="0" w:line="239" w:lineRule="auto"/>
              <w:ind w:left="567" w:right="708" w:hanging="283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12</w:t>
            </w: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</w:t>
            </w:r>
          </w:p>
          <w:p w:rsidR="00CA6396" w:rsidRPr="0041079E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 Ксенобиотики способные аккумулироваться в живых организмах.</w:t>
            </w:r>
          </w:p>
          <w:p w:rsidR="00CA6396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Облегченная диффузия. Характерные отличия между процессами простой и облегченной диффузии. </w:t>
            </w:r>
          </w:p>
        </w:tc>
      </w:tr>
      <w:tr w:rsidR="00CA6396" w:rsidTr="003F3F43">
        <w:trPr>
          <w:trHeight w:val="2835"/>
        </w:trPr>
        <w:tc>
          <w:tcPr>
            <w:tcW w:w="10456" w:type="dxa"/>
            <w:vAlign w:val="center"/>
          </w:tcPr>
          <w:p w:rsidR="00CA6396" w:rsidRPr="00FA671C" w:rsidRDefault="00CA6396" w:rsidP="003F3F43">
            <w:pPr>
              <w:spacing w:after="0" w:line="239" w:lineRule="auto"/>
              <w:ind w:left="567" w:right="708" w:hanging="283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13</w:t>
            </w: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</w:t>
            </w:r>
          </w:p>
          <w:p w:rsidR="00CA6396" w:rsidRPr="0041079E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Адсорбция. Основные характеристики процесса. Изотерма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Лэнгмюра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</w:t>
            </w:r>
          </w:p>
          <w:p w:rsidR="00CA6396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Общие представления об избирательном действии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ксенобиотиков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Определение понятия избирательности. Роль физико-химических свойств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ксенобиотиков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в процессах избирательности. </w:t>
            </w:r>
          </w:p>
        </w:tc>
      </w:tr>
      <w:tr w:rsidR="00CA6396" w:rsidTr="00CA6396">
        <w:trPr>
          <w:trHeight w:val="2125"/>
        </w:trPr>
        <w:tc>
          <w:tcPr>
            <w:tcW w:w="10456" w:type="dxa"/>
            <w:vAlign w:val="center"/>
          </w:tcPr>
          <w:p w:rsidR="00CA6396" w:rsidRPr="00FA671C" w:rsidRDefault="00CA6396" w:rsidP="003F3F43">
            <w:pPr>
              <w:spacing w:after="0" w:line="239" w:lineRule="auto"/>
              <w:ind w:left="567" w:right="708" w:hanging="283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14</w:t>
            </w: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</w:t>
            </w:r>
          </w:p>
          <w:p w:rsidR="00CA6396" w:rsidRPr="0041079E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Влияние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ксенобиотиков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на физико-химические свойства цитоплазмы, транспортные характеристики мембран и метаболические процессы в клетке. </w:t>
            </w:r>
          </w:p>
          <w:p w:rsidR="00CA6396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Система оценки первичной безопасности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ксенобиотиков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</w:tr>
      <w:tr w:rsidR="00CA6396" w:rsidTr="00CA6396">
        <w:trPr>
          <w:trHeight w:val="1841"/>
        </w:trPr>
        <w:tc>
          <w:tcPr>
            <w:tcW w:w="10456" w:type="dxa"/>
            <w:vAlign w:val="center"/>
          </w:tcPr>
          <w:p w:rsidR="00CA6396" w:rsidRPr="00FA671C" w:rsidRDefault="00CA6396" w:rsidP="003F3F43">
            <w:pPr>
              <w:spacing w:after="0" w:line="239" w:lineRule="auto"/>
              <w:ind w:left="567" w:right="708" w:hanging="283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lastRenderedPageBreak/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15</w:t>
            </w: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</w:t>
            </w:r>
          </w:p>
          <w:p w:rsidR="00CA6396" w:rsidRPr="0041079E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.Факторы, влияющие на концентрацию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ксенобиотиков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в организме описываемые LADME-системой.</w:t>
            </w:r>
          </w:p>
          <w:p w:rsidR="00CA6396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Цитологические различия как фактор избирательного действия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ксенобиотиков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</w:t>
            </w:r>
          </w:p>
        </w:tc>
      </w:tr>
      <w:tr w:rsidR="00CA6396" w:rsidTr="00CA6396">
        <w:trPr>
          <w:trHeight w:val="1696"/>
        </w:trPr>
        <w:tc>
          <w:tcPr>
            <w:tcW w:w="10456" w:type="dxa"/>
            <w:vAlign w:val="center"/>
          </w:tcPr>
          <w:p w:rsidR="00CA6396" w:rsidRPr="00FA671C" w:rsidRDefault="00CA6396" w:rsidP="003F3F43">
            <w:pPr>
              <w:spacing w:after="0" w:line="239" w:lineRule="auto"/>
              <w:ind w:left="567" w:right="708" w:hanging="283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16</w:t>
            </w: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</w:t>
            </w:r>
          </w:p>
          <w:p w:rsidR="00CA6396" w:rsidRPr="0041079E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Основные этапы трансформации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ксенобиотиков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в экосистемах. </w:t>
            </w:r>
          </w:p>
          <w:p w:rsidR="00CA6396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Биоаккумулирование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ксенобиотиков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Коэффициент накопления. Одноразовые дозы. </w:t>
            </w:r>
          </w:p>
        </w:tc>
      </w:tr>
      <w:tr w:rsidR="00CA6396" w:rsidTr="00CA6396">
        <w:trPr>
          <w:trHeight w:val="2543"/>
        </w:trPr>
        <w:tc>
          <w:tcPr>
            <w:tcW w:w="10456" w:type="dxa"/>
            <w:vAlign w:val="center"/>
          </w:tcPr>
          <w:p w:rsidR="00CA6396" w:rsidRPr="00FA671C" w:rsidRDefault="00CA6396" w:rsidP="003F3F43">
            <w:pPr>
              <w:spacing w:after="0" w:line="239" w:lineRule="auto"/>
              <w:ind w:left="567" w:right="708" w:hanging="283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17</w:t>
            </w: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</w:t>
            </w:r>
          </w:p>
          <w:p w:rsidR="00CA6396" w:rsidRPr="0041079E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Реакции окисления органических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ксенобиотиков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их роль в процессах метаболизма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ксенобиотиков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Ферменты, катализирующие реакции окисления. </w:t>
            </w:r>
          </w:p>
          <w:p w:rsidR="00CA6396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Неорганические ксенобиотики. Металлы.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Двухфазность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биореакции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на действие тяжелых металлов. Способность металлов к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хелатообразованию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; коэффициент устойчивости. </w:t>
            </w:r>
          </w:p>
        </w:tc>
      </w:tr>
      <w:tr w:rsidR="00CA6396" w:rsidTr="00CA6396">
        <w:trPr>
          <w:trHeight w:val="2368"/>
        </w:trPr>
        <w:tc>
          <w:tcPr>
            <w:tcW w:w="10456" w:type="dxa"/>
            <w:vAlign w:val="center"/>
          </w:tcPr>
          <w:p w:rsidR="00CA6396" w:rsidRPr="00FA671C" w:rsidRDefault="00CA6396" w:rsidP="003F3F43">
            <w:pPr>
              <w:spacing w:after="0" w:line="239" w:lineRule="auto"/>
              <w:ind w:left="567" w:right="708" w:hanging="283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18</w:t>
            </w: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</w:t>
            </w:r>
          </w:p>
          <w:p w:rsidR="00CA6396" w:rsidRPr="0041079E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Реакции восстановления органических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ксенобиотиков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Ферменты, участвующие в этих реакциях. </w:t>
            </w:r>
          </w:p>
          <w:p w:rsidR="00CA6396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Структура автоматизированной системы испытаний биологической активности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ксенобиотиков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Специфические и неспецифические модели. </w:t>
            </w:r>
          </w:p>
        </w:tc>
      </w:tr>
      <w:tr w:rsidR="00CA6396" w:rsidTr="00CA6396">
        <w:trPr>
          <w:trHeight w:val="1551"/>
        </w:trPr>
        <w:tc>
          <w:tcPr>
            <w:tcW w:w="10456" w:type="dxa"/>
            <w:vAlign w:val="center"/>
          </w:tcPr>
          <w:p w:rsidR="00CA6396" w:rsidRPr="00FA671C" w:rsidRDefault="00CA6396" w:rsidP="003F3F43">
            <w:pPr>
              <w:spacing w:after="0" w:line="239" w:lineRule="auto"/>
              <w:ind w:left="567" w:right="708" w:hanging="283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19</w:t>
            </w: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</w:t>
            </w:r>
          </w:p>
          <w:p w:rsidR="00CA6396" w:rsidRPr="0041079E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.Источники наибольшей токсичности для организма.</w:t>
            </w:r>
          </w:p>
          <w:p w:rsidR="00CA6396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Понятия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экотоксиканта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экополлютанта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и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персистентности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 Персистентные и неразлагающиеся ксенобиотики.</w:t>
            </w:r>
          </w:p>
        </w:tc>
      </w:tr>
      <w:tr w:rsidR="00CA6396" w:rsidTr="00CA6396">
        <w:trPr>
          <w:trHeight w:val="1842"/>
        </w:trPr>
        <w:tc>
          <w:tcPr>
            <w:tcW w:w="10456" w:type="dxa"/>
            <w:vAlign w:val="center"/>
          </w:tcPr>
          <w:p w:rsidR="00CA6396" w:rsidRPr="00FA671C" w:rsidRDefault="00CA6396" w:rsidP="003F3F43">
            <w:pPr>
              <w:spacing w:after="0" w:line="239" w:lineRule="auto"/>
              <w:ind w:left="567" w:right="708" w:hanging="283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Вариант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</w:t>
            </w:r>
          </w:p>
          <w:p w:rsidR="00CA6396" w:rsidRPr="0041079E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Роль физико-химических факторов в превращениях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ксенобиотиков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в окружающей среде. </w:t>
            </w:r>
          </w:p>
          <w:p w:rsidR="00CA6396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Роль генной инженерии в борьбе с загрязнением окружающей среды. Механизмы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детоксикации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(общие положения).</w:t>
            </w:r>
          </w:p>
        </w:tc>
      </w:tr>
      <w:tr w:rsidR="00CA6396" w:rsidTr="00CA6396">
        <w:trPr>
          <w:trHeight w:val="1684"/>
        </w:trPr>
        <w:tc>
          <w:tcPr>
            <w:tcW w:w="10456" w:type="dxa"/>
            <w:vAlign w:val="center"/>
          </w:tcPr>
          <w:p w:rsidR="00CA6396" w:rsidRPr="00FA671C" w:rsidRDefault="00CA6396" w:rsidP="003F3F43">
            <w:pPr>
              <w:spacing w:after="0" w:line="239" w:lineRule="auto"/>
              <w:ind w:left="567" w:right="708" w:hanging="283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Вариант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</w:t>
            </w: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</w:t>
            </w:r>
          </w:p>
          <w:p w:rsidR="00CA6396" w:rsidRPr="0041079E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 Критерии выбора тест-объекта.</w:t>
            </w:r>
          </w:p>
          <w:p w:rsidR="00CA6396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Экологическая опасность биоразрушаемых и остатков неразложившихся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ксенобиотиков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опасность сублетальных </w:t>
            </w:r>
            <w:proofErr w:type="gram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концентраций.  </w:t>
            </w:r>
            <w:proofErr w:type="gramEnd"/>
          </w:p>
        </w:tc>
      </w:tr>
      <w:tr w:rsidR="00CA6396" w:rsidTr="00CA6396">
        <w:trPr>
          <w:trHeight w:val="1416"/>
        </w:trPr>
        <w:tc>
          <w:tcPr>
            <w:tcW w:w="10456" w:type="dxa"/>
            <w:vAlign w:val="center"/>
          </w:tcPr>
          <w:p w:rsidR="00CA6396" w:rsidRPr="00FA671C" w:rsidRDefault="00CA6396" w:rsidP="003F3F43">
            <w:pPr>
              <w:spacing w:after="0" w:line="239" w:lineRule="auto"/>
              <w:ind w:left="567" w:right="708" w:hanging="283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Вариант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2</w:t>
            </w: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</w:t>
            </w:r>
          </w:p>
          <w:p w:rsidR="00CA6396" w:rsidRPr="0041079E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.Основные пути поступления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ксенобиотиков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в организм.</w:t>
            </w:r>
          </w:p>
          <w:p w:rsidR="00CA6396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Яды и токсины. Токсичность и опасность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ксенобиотиков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Приемы классификации. Классы опасности и токсичности. </w:t>
            </w:r>
          </w:p>
        </w:tc>
      </w:tr>
      <w:tr w:rsidR="00CA6396" w:rsidTr="00CA6396">
        <w:trPr>
          <w:trHeight w:val="1841"/>
        </w:trPr>
        <w:tc>
          <w:tcPr>
            <w:tcW w:w="10456" w:type="dxa"/>
            <w:vAlign w:val="center"/>
          </w:tcPr>
          <w:p w:rsidR="00CA6396" w:rsidRPr="00FA671C" w:rsidRDefault="00CA6396" w:rsidP="003F3F43">
            <w:pPr>
              <w:spacing w:after="0" w:line="239" w:lineRule="auto"/>
              <w:ind w:left="567" w:right="708" w:hanging="283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lastRenderedPageBreak/>
              <w:t>Вариант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3</w:t>
            </w: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</w:t>
            </w:r>
          </w:p>
          <w:p w:rsidR="00CA6396" w:rsidRPr="0041079E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.Общая картина превращения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ксенобиотиков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в высших организмах. </w:t>
            </w:r>
          </w:p>
          <w:p w:rsidR="00CA6396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Критерии установления вредных влияний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ксенобиотиков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на экосистемы.</w:t>
            </w:r>
          </w:p>
        </w:tc>
      </w:tr>
      <w:tr w:rsidR="00CA6396" w:rsidTr="00CA6396">
        <w:trPr>
          <w:trHeight w:val="1413"/>
        </w:trPr>
        <w:tc>
          <w:tcPr>
            <w:tcW w:w="10456" w:type="dxa"/>
            <w:vAlign w:val="center"/>
          </w:tcPr>
          <w:p w:rsidR="00CA6396" w:rsidRPr="00FA671C" w:rsidRDefault="00CA6396" w:rsidP="003F3F43">
            <w:pPr>
              <w:spacing w:after="0" w:line="239" w:lineRule="auto"/>
              <w:ind w:left="567" w:right="708" w:hanging="283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Вариант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4</w:t>
            </w: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</w:t>
            </w:r>
          </w:p>
          <w:p w:rsidR="00CA6396" w:rsidRPr="0041079E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Факторы, влияющие на накопление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ксенобиотиков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в экосистемах. </w:t>
            </w:r>
          </w:p>
          <w:p w:rsidR="00CA6396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</w:t>
            </w:r>
            <w:r w:rsidRPr="0041079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Выведение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sz w:val="32"/>
                <w:szCs w:val="32"/>
              </w:rPr>
              <w:t>ксенобиотиков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из организма, основные пути.</w:t>
            </w:r>
          </w:p>
        </w:tc>
      </w:tr>
      <w:tr w:rsidR="00CA6396" w:rsidTr="00CA6396">
        <w:trPr>
          <w:trHeight w:val="2058"/>
        </w:trPr>
        <w:tc>
          <w:tcPr>
            <w:tcW w:w="10456" w:type="dxa"/>
            <w:vAlign w:val="center"/>
          </w:tcPr>
          <w:p w:rsidR="00CA6396" w:rsidRPr="00FA671C" w:rsidRDefault="00CA6396" w:rsidP="003F3F43">
            <w:pPr>
              <w:spacing w:after="0" w:line="239" w:lineRule="auto"/>
              <w:ind w:left="567" w:right="708" w:hanging="283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Вариант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5</w:t>
            </w: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</w:t>
            </w:r>
          </w:p>
          <w:p w:rsidR="00CA6396" w:rsidRPr="0041079E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Основные типы химических связей и их роль в процессах связывания эффектора с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мембранактивными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сайтами (рецепторами). </w:t>
            </w:r>
          </w:p>
          <w:p w:rsidR="00CA6396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Коергизм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аддитивность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, антагонизм и синергизм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ксенобиотиков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</w:p>
        </w:tc>
      </w:tr>
      <w:tr w:rsidR="00CA6396" w:rsidTr="00CA6396">
        <w:trPr>
          <w:trHeight w:val="1409"/>
        </w:trPr>
        <w:tc>
          <w:tcPr>
            <w:tcW w:w="10456" w:type="dxa"/>
            <w:vAlign w:val="center"/>
          </w:tcPr>
          <w:p w:rsidR="00CA6396" w:rsidRPr="00FA671C" w:rsidRDefault="00CA6396" w:rsidP="003F3F43">
            <w:pPr>
              <w:spacing w:after="0" w:line="239" w:lineRule="auto"/>
              <w:ind w:left="567" w:right="708" w:hanging="283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Вариант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6</w:t>
            </w: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</w:t>
            </w:r>
          </w:p>
          <w:p w:rsidR="00CA6396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A67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1. Факторы, влияющие на концентрацию </w:t>
            </w:r>
            <w:proofErr w:type="spellStart"/>
            <w:r w:rsidRPr="00FA67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ксенобиотиков</w:t>
            </w:r>
            <w:proofErr w:type="spellEnd"/>
            <w:r w:rsidRPr="00FA67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в организме.</w:t>
            </w:r>
          </w:p>
          <w:p w:rsidR="00CA6396" w:rsidRPr="00FA671C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  <w:r w:rsidRPr="00FA67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 Полезн</w:t>
            </w:r>
            <w:r w:rsidRPr="00FA671C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>ы</w:t>
            </w:r>
            <w:r w:rsidRPr="00FA67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 кс</w:t>
            </w:r>
            <w:r w:rsidRPr="00FA671C">
              <w:rPr>
                <w:rFonts w:ascii="Times New Roman" w:eastAsia="Times New Roman" w:hAnsi="Times New Roman" w:cs="Times New Roman"/>
                <w:color w:val="000000"/>
                <w:spacing w:val="-2"/>
                <w:sz w:val="32"/>
                <w:szCs w:val="32"/>
              </w:rPr>
              <w:t>е</w:t>
            </w:r>
            <w:r w:rsidRPr="00FA67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но</w:t>
            </w:r>
            <w:r w:rsidRPr="00FA671C">
              <w:rPr>
                <w:rFonts w:ascii="Times New Roman" w:eastAsia="Times New Roman" w:hAnsi="Times New Roman" w:cs="Times New Roman"/>
                <w:color w:val="000000"/>
                <w:spacing w:val="-2"/>
                <w:sz w:val="32"/>
                <w:szCs w:val="32"/>
              </w:rPr>
              <w:t>б</w:t>
            </w:r>
            <w:r w:rsidRPr="00FA67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иотики</w:t>
            </w:r>
            <w:r w:rsidRPr="00FA671C">
              <w:rPr>
                <w:rFonts w:ascii="Times New Roman" w:eastAsia="Times New Roman" w:hAnsi="Times New Roman" w:cs="Times New Roman"/>
                <w:color w:val="000000"/>
                <w:spacing w:val="-2"/>
                <w:sz w:val="32"/>
                <w:szCs w:val="32"/>
              </w:rPr>
              <w:t xml:space="preserve"> </w:t>
            </w:r>
            <w:r w:rsidRPr="00FA67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и </w:t>
            </w:r>
            <w:r w:rsidRPr="00FA671C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</w:rPr>
              <w:t>и</w:t>
            </w:r>
            <w:r w:rsidRPr="00FA67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х хар</w:t>
            </w:r>
            <w:r w:rsidRPr="00FA671C">
              <w:rPr>
                <w:rFonts w:ascii="Times New Roman" w:eastAsia="Times New Roman" w:hAnsi="Times New Roman" w:cs="Times New Roman"/>
                <w:color w:val="000000"/>
                <w:spacing w:val="-2"/>
                <w:sz w:val="32"/>
                <w:szCs w:val="32"/>
              </w:rPr>
              <w:t>а</w:t>
            </w:r>
            <w:r w:rsidRPr="00FA67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кт</w:t>
            </w:r>
            <w:r w:rsidRPr="00FA671C">
              <w:rPr>
                <w:rFonts w:ascii="Times New Roman" w:eastAsia="Times New Roman" w:hAnsi="Times New Roman" w:cs="Times New Roman"/>
                <w:color w:val="000000"/>
                <w:spacing w:val="-2"/>
                <w:sz w:val="32"/>
                <w:szCs w:val="32"/>
              </w:rPr>
              <w:t>е</w:t>
            </w:r>
            <w:r w:rsidRPr="00FA67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ристика.</w:t>
            </w:r>
          </w:p>
        </w:tc>
      </w:tr>
      <w:tr w:rsidR="00CA6396" w:rsidTr="00CA6396">
        <w:trPr>
          <w:trHeight w:val="1359"/>
        </w:trPr>
        <w:tc>
          <w:tcPr>
            <w:tcW w:w="10456" w:type="dxa"/>
            <w:vAlign w:val="center"/>
          </w:tcPr>
          <w:p w:rsidR="00CA6396" w:rsidRPr="00FA671C" w:rsidRDefault="00CA6396" w:rsidP="003F3F43">
            <w:pPr>
              <w:spacing w:after="0" w:line="239" w:lineRule="auto"/>
              <w:ind w:left="567" w:right="708" w:hanging="283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Вариант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7</w:t>
            </w:r>
            <w:r w:rsidRPr="00FA67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</w:t>
            </w:r>
          </w:p>
          <w:p w:rsidR="00CA6396" w:rsidRPr="00172E9D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A67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72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Свободнорадикальное</w:t>
            </w:r>
            <w:proofErr w:type="spellEnd"/>
            <w:r w:rsidRPr="00172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окисление в </w:t>
            </w:r>
            <w:proofErr w:type="spellStart"/>
            <w:r w:rsidRPr="00172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ксенобиологии</w:t>
            </w:r>
            <w:proofErr w:type="spellEnd"/>
            <w:r w:rsidRPr="00172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</w:p>
          <w:p w:rsidR="00CA6396" w:rsidRPr="00FA671C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172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2. Ксенобиотики – направленные регуляторы гибели клеток</w:t>
            </w:r>
          </w:p>
        </w:tc>
      </w:tr>
      <w:tr w:rsidR="00CA6396" w:rsidTr="00CA6396">
        <w:trPr>
          <w:trHeight w:val="1677"/>
        </w:trPr>
        <w:tc>
          <w:tcPr>
            <w:tcW w:w="10456" w:type="dxa"/>
            <w:vAlign w:val="center"/>
          </w:tcPr>
          <w:p w:rsidR="00CA6396" w:rsidRPr="00172E9D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172E9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Вариант 28.</w:t>
            </w:r>
          </w:p>
          <w:p w:rsidR="00CA6396" w:rsidRPr="00172E9D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A67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172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Способы аккумуляции </w:t>
            </w:r>
            <w:proofErr w:type="spellStart"/>
            <w:r w:rsidRPr="00172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ксенобиотиков</w:t>
            </w:r>
            <w:proofErr w:type="spellEnd"/>
            <w:r w:rsidRPr="00172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в живых организмах.</w:t>
            </w:r>
          </w:p>
          <w:p w:rsidR="00CA6396" w:rsidRPr="00172E9D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72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2. Алкалоиды – основные ксенобиотики растительного происхождения.</w:t>
            </w:r>
          </w:p>
        </w:tc>
      </w:tr>
      <w:tr w:rsidR="00CA6396" w:rsidTr="00CA6396">
        <w:trPr>
          <w:trHeight w:val="1700"/>
        </w:trPr>
        <w:tc>
          <w:tcPr>
            <w:tcW w:w="10456" w:type="dxa"/>
            <w:vAlign w:val="center"/>
          </w:tcPr>
          <w:p w:rsidR="00CA6396" w:rsidRPr="00172E9D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172E9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Вариант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9</w:t>
            </w:r>
            <w:r w:rsidRPr="00172E9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</w:t>
            </w:r>
          </w:p>
          <w:p w:rsidR="00CA6396" w:rsidRPr="00172E9D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A67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172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Основные типы глобального химического загрязнения и их характеристика.</w:t>
            </w:r>
          </w:p>
          <w:p w:rsidR="00CA6396" w:rsidRPr="00172E9D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172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2. Структурно-функциональная организация мембран и </w:t>
            </w:r>
            <w:bookmarkStart w:id="0" w:name="_GoBack"/>
            <w:bookmarkEnd w:id="0"/>
            <w:r w:rsidRPr="00172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ксенобиотики.</w:t>
            </w:r>
          </w:p>
        </w:tc>
      </w:tr>
      <w:tr w:rsidR="00CA6396" w:rsidTr="00CA6396">
        <w:trPr>
          <w:trHeight w:val="1982"/>
        </w:trPr>
        <w:tc>
          <w:tcPr>
            <w:tcW w:w="10456" w:type="dxa"/>
            <w:vAlign w:val="center"/>
          </w:tcPr>
          <w:p w:rsidR="00CA6396" w:rsidRPr="00172E9D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172E9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30</w:t>
            </w:r>
            <w:r w:rsidRPr="00172E9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</w:t>
            </w:r>
          </w:p>
          <w:p w:rsidR="00CA6396" w:rsidRPr="00172E9D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FA67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172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Загрязнение и его виды, загрязняющие агенты.</w:t>
            </w:r>
          </w:p>
          <w:p w:rsidR="00CA6396" w:rsidRPr="00172E9D" w:rsidRDefault="00CA6396" w:rsidP="003F3F43">
            <w:pPr>
              <w:spacing w:after="0" w:line="239" w:lineRule="auto"/>
              <w:ind w:left="567" w:right="708" w:hanging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172E9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Ионизация, ее природа. Константа и степень ионизации молекул </w:t>
            </w:r>
            <w:proofErr w:type="spellStart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ксенобиотиков</w:t>
            </w:r>
            <w:proofErr w:type="spellEnd"/>
            <w:r w:rsidRPr="004107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</w:p>
        </w:tc>
      </w:tr>
    </w:tbl>
    <w:p w:rsidR="00D6353F" w:rsidRDefault="00D6353F"/>
    <w:sectPr w:rsidR="00D6353F" w:rsidSect="00CA63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92"/>
    <w:rsid w:val="00602692"/>
    <w:rsid w:val="00CA6396"/>
    <w:rsid w:val="00D6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EC6FA-8D24-4773-BF24-81EE0B38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3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3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840</Words>
  <Characters>4790</Characters>
  <Application>Microsoft Office Word</Application>
  <DocSecurity>0</DocSecurity>
  <Lines>39</Lines>
  <Paragraphs>11</Paragraphs>
  <ScaleCrop>false</ScaleCrop>
  <Company/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2019-02-05T09:48:00Z</dcterms:created>
  <dcterms:modified xsi:type="dcterms:W3CDTF">2019-02-05T09:55:00Z</dcterms:modified>
</cp:coreProperties>
</file>